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6BE" w:rsidRPr="00914040" w:rsidRDefault="004906BE" w:rsidP="00D14BDF">
      <w:pPr>
        <w:autoSpaceDE w:val="0"/>
        <w:autoSpaceDN w:val="0"/>
        <w:adjustRightInd w:val="0"/>
        <w:spacing w:after="200" w:line="276" w:lineRule="auto"/>
        <w:ind w:left="-284" w:right="-376"/>
        <w:jc w:val="center"/>
        <w:rPr>
          <w:rFonts w:ascii="Helvetica" w:hAnsi="Helvetica" w:cs="Helvetica"/>
          <w:color w:val="000000"/>
          <w:sz w:val="28"/>
          <w:szCs w:val="28"/>
        </w:rPr>
      </w:pPr>
      <w:r w:rsidRPr="00A301A6">
        <w:rPr>
          <w:noProof/>
          <w:color w:val="00000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7" o:title=""/>
          </v:shape>
        </w:pict>
      </w:r>
    </w:p>
    <w:p w:rsidR="004906BE" w:rsidRPr="00011B51" w:rsidRDefault="004906BE" w:rsidP="00D14BDF">
      <w:pPr>
        <w:autoSpaceDE w:val="0"/>
        <w:autoSpaceDN w:val="0"/>
        <w:adjustRightInd w:val="0"/>
        <w:spacing w:after="200" w:line="276" w:lineRule="auto"/>
        <w:ind w:left="-284" w:right="-376"/>
        <w:jc w:val="center"/>
        <w:rPr>
          <w:rFonts w:ascii="Helvetica" w:hAnsi="Helvetica" w:cs="Helvetica"/>
          <w:b/>
          <w:bCs/>
          <w:color w:val="000000"/>
          <w:sz w:val="28"/>
          <w:szCs w:val="28"/>
        </w:rPr>
      </w:pPr>
      <w:r w:rsidRPr="00011B51">
        <w:rPr>
          <w:rFonts w:ascii="Helvetica" w:hAnsi="Helvetica" w:cs="Helvetica"/>
          <w:b/>
          <w:bCs/>
          <w:color w:val="000000"/>
          <w:sz w:val="28"/>
          <w:szCs w:val="28"/>
        </w:rPr>
        <w:t xml:space="preserve">Gruppo Consiliare Forza Italia </w:t>
      </w:r>
    </w:p>
    <w:p w:rsidR="004906BE" w:rsidRPr="00011B51" w:rsidRDefault="004906BE" w:rsidP="00D14BDF">
      <w:pPr>
        <w:autoSpaceDE w:val="0"/>
        <w:autoSpaceDN w:val="0"/>
        <w:adjustRightInd w:val="0"/>
        <w:spacing w:after="200" w:line="276" w:lineRule="auto"/>
        <w:ind w:left="-284" w:right="-376"/>
        <w:jc w:val="center"/>
        <w:rPr>
          <w:rFonts w:ascii="Helvetica" w:hAnsi="Helvetica" w:cs="Helvetica"/>
          <w:b/>
          <w:bCs/>
          <w:color w:val="000000"/>
          <w:sz w:val="28"/>
          <w:szCs w:val="28"/>
        </w:rPr>
      </w:pPr>
      <w:r w:rsidRPr="00011B51">
        <w:rPr>
          <w:rFonts w:ascii="Helvetica" w:hAnsi="Helvetica" w:cs="Helvetica"/>
          <w:b/>
          <w:bCs/>
          <w:color w:val="000000"/>
          <w:sz w:val="28"/>
          <w:szCs w:val="28"/>
        </w:rPr>
        <w:t>Gruppo Consiliare Lega Modena</w:t>
      </w:r>
    </w:p>
    <w:p w:rsidR="004906BE" w:rsidRPr="00011B51" w:rsidRDefault="004906BE" w:rsidP="00011B51">
      <w:pPr>
        <w:jc w:val="center"/>
        <w:rPr>
          <w:rFonts w:ascii="Helvetica" w:hAnsi="Helvetica" w:cs="Helvetica"/>
          <w:b/>
          <w:sz w:val="28"/>
          <w:szCs w:val="28"/>
        </w:rPr>
      </w:pPr>
      <w:r w:rsidRPr="00011B51">
        <w:rPr>
          <w:rFonts w:ascii="Helvetica" w:hAnsi="Helvetica" w:cs="Helvetica"/>
          <w:b/>
          <w:bCs/>
          <w:color w:val="000000"/>
          <w:sz w:val="28"/>
          <w:szCs w:val="28"/>
        </w:rPr>
        <w:t>Gruppo Consiliare</w:t>
      </w:r>
      <w:r w:rsidRPr="00011B51">
        <w:rPr>
          <w:rFonts w:ascii="Helvetica" w:hAnsi="Helvetica" w:cs="Helvetica"/>
          <w:b/>
          <w:sz w:val="28"/>
          <w:szCs w:val="28"/>
        </w:rPr>
        <w:t xml:space="preserve"> Fratelli d’Italia – Il Popolo della Famiglia</w:t>
      </w:r>
    </w:p>
    <w:p w:rsidR="004906BE" w:rsidRPr="009977DA" w:rsidRDefault="004906BE" w:rsidP="00011B51">
      <w:pPr>
        <w:jc w:val="center"/>
        <w:rPr>
          <w:rFonts w:ascii="Helvetica" w:hAnsi="Helvetica" w:cs="Helvetica"/>
          <w:b/>
          <w:bCs/>
        </w:rPr>
      </w:pPr>
    </w:p>
    <w:p w:rsidR="004906BE" w:rsidRDefault="004906BE" w:rsidP="009977DA">
      <w:pPr>
        <w:autoSpaceDE w:val="0"/>
        <w:autoSpaceDN w:val="0"/>
        <w:adjustRightInd w:val="0"/>
        <w:spacing w:after="200" w:line="480" w:lineRule="exact"/>
        <w:ind w:left="-284"/>
        <w:jc w:val="right"/>
        <w:rPr>
          <w:rFonts w:ascii="Helvetica" w:hAnsi="Helvetica" w:cs="Helvetica"/>
        </w:rPr>
      </w:pPr>
      <w:r w:rsidRPr="00ED5C52">
        <w:rPr>
          <w:rFonts w:ascii="Helvetica" w:hAnsi="Helvetica" w:cs="Helvetica"/>
          <w:b/>
          <w:bCs/>
        </w:rPr>
        <w:t>PROTOCOLLO GENERALE n° 114911 del 21/04/2021</w:t>
      </w:r>
    </w:p>
    <w:p w:rsidR="004906BE" w:rsidRPr="009977DA" w:rsidRDefault="004906BE" w:rsidP="009977DA">
      <w:pPr>
        <w:autoSpaceDE w:val="0"/>
        <w:autoSpaceDN w:val="0"/>
        <w:adjustRightInd w:val="0"/>
        <w:spacing w:after="200" w:line="480" w:lineRule="exact"/>
        <w:ind w:left="-284"/>
        <w:jc w:val="right"/>
        <w:rPr>
          <w:rFonts w:ascii="Helvetica" w:hAnsi="Helvetica" w:cs="Helvetica"/>
        </w:rPr>
      </w:pPr>
      <w:r w:rsidRPr="009977DA">
        <w:rPr>
          <w:rFonts w:ascii="Helvetica" w:hAnsi="Helvetica" w:cs="Helvetica"/>
        </w:rPr>
        <w:t xml:space="preserve">Modena, </w:t>
      </w:r>
      <w:r>
        <w:rPr>
          <w:rFonts w:ascii="Helvetica" w:hAnsi="Helvetica" w:cs="Helvetica"/>
        </w:rPr>
        <w:t>20</w:t>
      </w:r>
      <w:r w:rsidRPr="009977DA">
        <w:rPr>
          <w:rFonts w:ascii="Helvetica" w:hAnsi="Helvetica" w:cs="Helvetica"/>
        </w:rPr>
        <w:t>/0</w:t>
      </w:r>
      <w:r>
        <w:rPr>
          <w:rFonts w:ascii="Helvetica" w:hAnsi="Helvetica" w:cs="Helvetica"/>
        </w:rPr>
        <w:t>4</w:t>
      </w:r>
      <w:r w:rsidRPr="009977DA">
        <w:rPr>
          <w:rFonts w:ascii="Helvetica" w:hAnsi="Helvetica" w:cs="Helvetica"/>
        </w:rPr>
        <w:t>/2021</w:t>
      </w:r>
    </w:p>
    <w:p w:rsidR="004906BE" w:rsidRPr="009977DA" w:rsidRDefault="004906BE" w:rsidP="009977DA">
      <w:pPr>
        <w:spacing w:line="480" w:lineRule="exact"/>
        <w:jc w:val="right"/>
        <w:rPr>
          <w:rFonts w:ascii="Helvetica" w:hAnsi="Helvetica" w:cs="Helvetica"/>
        </w:rPr>
      </w:pPr>
      <w:r w:rsidRPr="009977DA">
        <w:rPr>
          <w:rFonts w:ascii="Helvetica" w:hAnsi="Helvetica" w:cs="Helvetica"/>
        </w:rPr>
        <w:t>Al Sindaco di Modena</w:t>
      </w:r>
    </w:p>
    <w:p w:rsidR="004906BE" w:rsidRPr="009977DA" w:rsidRDefault="004906BE" w:rsidP="009977DA">
      <w:pPr>
        <w:spacing w:line="480" w:lineRule="exact"/>
        <w:jc w:val="right"/>
        <w:rPr>
          <w:rFonts w:ascii="Helvetica" w:hAnsi="Helvetica" w:cs="Helvetica"/>
        </w:rPr>
      </w:pPr>
      <w:r w:rsidRPr="009977DA">
        <w:rPr>
          <w:rFonts w:ascii="Helvetica" w:hAnsi="Helvetica" w:cs="Helvetica"/>
        </w:rPr>
        <w:t>Al Presidente del Consiglio Comunale</w:t>
      </w:r>
    </w:p>
    <w:p w:rsidR="004906BE" w:rsidRPr="009977DA" w:rsidRDefault="004906BE" w:rsidP="009977DA">
      <w:pPr>
        <w:spacing w:line="480" w:lineRule="exact"/>
        <w:jc w:val="right"/>
        <w:rPr>
          <w:rFonts w:ascii="Helvetica" w:hAnsi="Helvetica" w:cs="Helvetica"/>
          <w:shd w:val="clear" w:color="auto" w:fill="FFFFFF"/>
          <w:lang w:eastAsia="it-IT"/>
        </w:rPr>
      </w:pPr>
      <w:r w:rsidRPr="009977DA">
        <w:rPr>
          <w:rFonts w:ascii="Helvetica" w:hAnsi="Helvetica" w:cs="Helvetica"/>
        </w:rPr>
        <w:t>All’Assessore competente</w:t>
      </w:r>
    </w:p>
    <w:p w:rsidR="004906BE" w:rsidRPr="009977DA" w:rsidRDefault="004906BE" w:rsidP="009977DA">
      <w:pPr>
        <w:spacing w:line="480" w:lineRule="exact"/>
        <w:rPr>
          <w:rFonts w:ascii="Helvetica" w:hAnsi="Helvetica" w:cs="Helvetica"/>
        </w:rPr>
      </w:pPr>
    </w:p>
    <w:p w:rsidR="004906BE" w:rsidRPr="00C55B03" w:rsidRDefault="004906BE" w:rsidP="009977DA">
      <w:pPr>
        <w:spacing w:line="480" w:lineRule="exact"/>
        <w:jc w:val="center"/>
        <w:rPr>
          <w:rFonts w:ascii="Helvetica" w:hAnsi="Helvetica" w:cs="Helvetica"/>
          <w:b/>
          <w:bCs/>
        </w:rPr>
      </w:pPr>
      <w:r w:rsidRPr="00C55B03">
        <w:rPr>
          <w:rFonts w:ascii="Helvetica" w:hAnsi="Helvetica" w:cs="Helvetica"/>
          <w:b/>
          <w:bCs/>
        </w:rPr>
        <w:t>MOZIONE</w:t>
      </w:r>
    </w:p>
    <w:p w:rsidR="004906BE" w:rsidRPr="00C55B03" w:rsidRDefault="004906BE" w:rsidP="009977DA">
      <w:pPr>
        <w:spacing w:line="480" w:lineRule="exact"/>
        <w:jc w:val="center"/>
        <w:rPr>
          <w:rFonts w:ascii="Helvetica" w:hAnsi="Helvetica" w:cs="Helvetica"/>
          <w:b/>
          <w:bCs/>
          <w:caps/>
        </w:rPr>
      </w:pPr>
      <w:r w:rsidRPr="00C55B03">
        <w:rPr>
          <w:rFonts w:ascii="Helvetica" w:hAnsi="Helvetica" w:cs="Helvetica"/>
          <w:b/>
          <w:bCs/>
          <w:caps/>
        </w:rPr>
        <w:t>Oggetto: SUPERBONUS 110% - AGEVOLARE ENTI DEL TERZO SETTORE</w:t>
      </w:r>
    </w:p>
    <w:p w:rsidR="004906BE" w:rsidRPr="00C55B03" w:rsidRDefault="004906BE" w:rsidP="009977DA">
      <w:pPr>
        <w:spacing w:line="480" w:lineRule="exact"/>
        <w:jc w:val="center"/>
        <w:rPr>
          <w:rFonts w:ascii="Helvetica" w:hAnsi="Helvetica" w:cs="Helvetica"/>
          <w:b/>
          <w:bCs/>
        </w:rPr>
      </w:pPr>
    </w:p>
    <w:p w:rsidR="004906BE" w:rsidRPr="00C55B03" w:rsidRDefault="004906BE" w:rsidP="009977DA">
      <w:pPr>
        <w:spacing w:line="480" w:lineRule="exact"/>
        <w:jc w:val="center"/>
        <w:rPr>
          <w:rFonts w:ascii="Helvetica" w:hAnsi="Helvetica" w:cs="Helvetica"/>
          <w:b/>
          <w:bCs/>
        </w:rPr>
      </w:pPr>
      <w:r w:rsidRPr="00C55B03">
        <w:rPr>
          <w:rFonts w:ascii="Helvetica" w:hAnsi="Helvetica" w:cs="Helvetica"/>
          <w:b/>
          <w:bCs/>
        </w:rPr>
        <w:t>Premesso che:</w:t>
      </w:r>
    </w:p>
    <w:p w:rsidR="004906BE" w:rsidRPr="00C55B03" w:rsidRDefault="004906BE" w:rsidP="00600407">
      <w:pPr>
        <w:spacing w:line="480" w:lineRule="exact"/>
        <w:jc w:val="both"/>
        <w:rPr>
          <w:rFonts w:ascii="Helvetica" w:hAnsi="Helvetica" w:cs="Helvetica"/>
          <w:spacing w:val="2"/>
        </w:rPr>
      </w:pPr>
      <w:r w:rsidRPr="00C55B03">
        <w:rPr>
          <w:rFonts w:ascii="Helvetica" w:hAnsi="Helvetica" w:cs="Helvetica"/>
        </w:rPr>
        <w:t xml:space="preserve">- </w:t>
      </w:r>
      <w:r w:rsidRPr="00C55B03">
        <w:rPr>
          <w:rFonts w:ascii="Helvetica" w:hAnsi="Helvetica" w:cs="Helvetica"/>
          <w:spacing w:val="2"/>
        </w:rPr>
        <w:t>il “Superbonus 110%” è una misura di incentivazione introdotta dal D.L. “Rilancio” (n. 34 del 19 maggio 2020), consistente in una detrazione del 110% che si applica alle spese documentate sostenute per migliorare l’efficientamento energetico e/o sismico degli immobili in proprietà o in uso, in modo che gli interventi di ristrutturazione vengano eseguiti a costo zero per gli interessati;</w:t>
      </w:r>
    </w:p>
    <w:p w:rsidR="004906BE" w:rsidRPr="00C55B03" w:rsidRDefault="004906BE" w:rsidP="00600407">
      <w:pPr>
        <w:spacing w:line="480" w:lineRule="exact"/>
        <w:jc w:val="both"/>
        <w:rPr>
          <w:rFonts w:ascii="Helvetica" w:hAnsi="Helvetica" w:cs="Helvetica"/>
          <w:spacing w:val="2"/>
        </w:rPr>
      </w:pPr>
      <w:r w:rsidRPr="00C55B03">
        <w:rPr>
          <w:rFonts w:ascii="Helvetica" w:hAnsi="Helvetica" w:cs="Helvetica"/>
          <w:spacing w:val="2"/>
        </w:rPr>
        <w:t>- il “Superbonus 110%” si suddivide in due tipologie di interventi: il “Super Ecobonus”, che agevola i lavori di efficientamento energetico, ed il “Super Sismabonus”, che incentiva quelli di adeguamento antisismico;</w:t>
      </w:r>
    </w:p>
    <w:p w:rsidR="004906BE" w:rsidRPr="00C55B03" w:rsidRDefault="004906BE" w:rsidP="003F6FA1">
      <w:pPr>
        <w:spacing w:line="480" w:lineRule="exact"/>
        <w:jc w:val="both"/>
        <w:rPr>
          <w:rFonts w:ascii="Helvetica" w:hAnsi="Helvetica" w:cs="Helvetica"/>
          <w:spacing w:val="2"/>
        </w:rPr>
      </w:pPr>
      <w:r w:rsidRPr="00C55B03">
        <w:rPr>
          <w:rFonts w:ascii="Helvetica" w:hAnsi="Helvetica" w:cs="Helvetica"/>
          <w:spacing w:val="2"/>
        </w:rPr>
        <w:t>- nello specifico, l’incentivo consiste in una detrazione del 110% che si applica sulle spese sostenute dal 1° luglio 2020 al 30 giugno 2022 (salvo proroghe) e crea un “meccanismo virtuoso di mercato” che offre benefici a tutti i soggetti coinvolti: il beneficiario può ristrutturare l’immobile gratuitamente, ridurre il costo delle bollette e valorizzare il proprio patrimonio immobiliare; l’impresa può aumentare il proprio fatturato grazie al maggior volume di lavori; lo Stato può rendere più efficienti e più sicure le abitazioni e sostenere l’aumento dell’occupazione e del reddito. (cfr. http://www.governo.it/it/superbonus);</w:t>
      </w:r>
    </w:p>
    <w:p w:rsidR="004906BE" w:rsidRPr="00C55B03" w:rsidRDefault="004906BE" w:rsidP="003F6FA1">
      <w:pPr>
        <w:spacing w:line="480" w:lineRule="exact"/>
        <w:jc w:val="center"/>
        <w:rPr>
          <w:rFonts w:ascii="Helvetica" w:hAnsi="Helvetica" w:cs="Helvetica"/>
          <w:b/>
          <w:bCs/>
          <w:lang w:eastAsia="it-IT"/>
        </w:rPr>
      </w:pPr>
      <w:r w:rsidRPr="00C55B03">
        <w:rPr>
          <w:rFonts w:ascii="Helvetica" w:hAnsi="Helvetica" w:cs="Helvetica"/>
          <w:b/>
          <w:bCs/>
          <w:lang w:eastAsia="it-IT"/>
        </w:rPr>
        <w:t>premesso altresì che</w:t>
      </w:r>
    </w:p>
    <w:p w:rsidR="004906BE" w:rsidRPr="00C55B03" w:rsidRDefault="004906BE" w:rsidP="003F6FA1">
      <w:pPr>
        <w:tabs>
          <w:tab w:val="left" w:pos="284"/>
        </w:tabs>
        <w:spacing w:after="0" w:line="480" w:lineRule="exact"/>
        <w:ind w:right="-1"/>
        <w:jc w:val="both"/>
        <w:rPr>
          <w:rFonts w:ascii="Helvetica" w:hAnsi="Helvetica" w:cs="Helvetica"/>
          <w:bCs/>
          <w:lang w:eastAsia="it-IT"/>
        </w:rPr>
      </w:pPr>
      <w:r w:rsidRPr="00C55B03">
        <w:rPr>
          <w:rFonts w:ascii="Helvetica" w:hAnsi="Helvetica" w:cs="Helvetica"/>
          <w:bCs/>
          <w:lang w:eastAsia="it-IT"/>
        </w:rPr>
        <w:t xml:space="preserve">- tra i soggetti destinatari della misura, il comma 9, lettera d-bis, dell’articolo 119 del “Decreto Rilancio” richiama espressamente tra i beneficiari del </w:t>
      </w:r>
      <w:r w:rsidRPr="00C55B03">
        <w:rPr>
          <w:rFonts w:ascii="Helvetica" w:hAnsi="Helvetica" w:cs="Helvetica"/>
          <w:spacing w:val="2"/>
        </w:rPr>
        <w:t>“Superbonus 110%”</w:t>
      </w:r>
      <w:r w:rsidRPr="00C55B03">
        <w:rPr>
          <w:rFonts w:ascii="Helvetica" w:hAnsi="Helvetica" w:cs="Helvetica"/>
          <w:bCs/>
          <w:lang w:eastAsia="it-IT"/>
        </w:rPr>
        <w:t xml:space="preserve"> le organizzazioni non lucrative di utilità sociale (ONLUS) di cui all’articolo 10 del decreto legislativo 4 dicembre 1997, n. 460, le organizzazioni di volontariato (ODV) iscritte nei registri di cui alla legge 11 agosto 1991, n. 266, e le associazioni di promozione sociale (APS) iscritte negli appositi registri (proprio in merito alle Onlus di diritto, l’Agenzia delle Entrate ha recentemente chiarito che anche le cooperative sociali, previste dalla legge 8 novembre 1991, n. 381, iscritte nell’apposito registro prefettizio o nei registri provinciali, possono beneficiare del Superbonus 110% in quanto “</w:t>
      </w:r>
      <w:r w:rsidRPr="00C55B03">
        <w:rPr>
          <w:rFonts w:ascii="Helvetica" w:hAnsi="Helvetica" w:cs="Helvetica"/>
          <w:bCs/>
          <w:i/>
          <w:iCs/>
          <w:lang w:eastAsia="it-IT"/>
        </w:rPr>
        <w:t>sono da considerarsi Onlus di diritto</w:t>
      </w:r>
      <w:r w:rsidRPr="00C55B03">
        <w:rPr>
          <w:rFonts w:ascii="Helvetica" w:hAnsi="Helvetica" w:cs="Helvetica"/>
          <w:bCs/>
          <w:lang w:eastAsia="it-IT"/>
        </w:rPr>
        <w:t>” in virtù dell'art. 10, comma 8, D.Lgs. n. 460/1997);</w:t>
      </w:r>
    </w:p>
    <w:p w:rsidR="004906BE" w:rsidRPr="00C55B03" w:rsidRDefault="004906BE" w:rsidP="003F6FA1">
      <w:pPr>
        <w:tabs>
          <w:tab w:val="left" w:pos="284"/>
        </w:tabs>
        <w:spacing w:after="0" w:line="480" w:lineRule="exact"/>
        <w:ind w:right="-1"/>
        <w:jc w:val="both"/>
        <w:rPr>
          <w:rFonts w:ascii="Helvetica" w:hAnsi="Helvetica" w:cs="Helvetica"/>
          <w:bCs/>
          <w:lang w:eastAsia="it-IT"/>
        </w:rPr>
      </w:pPr>
      <w:r w:rsidRPr="00C55B03">
        <w:rPr>
          <w:rFonts w:ascii="Helvetica" w:hAnsi="Helvetica" w:cs="Helvetica"/>
          <w:bCs/>
          <w:lang w:eastAsia="it-IT"/>
        </w:rPr>
        <w:t xml:space="preserve">- possono inoltre accedere al </w:t>
      </w:r>
      <w:r w:rsidRPr="00C55B03">
        <w:rPr>
          <w:rFonts w:ascii="Helvetica" w:hAnsi="Helvetica" w:cs="Helvetica"/>
          <w:spacing w:val="2"/>
        </w:rPr>
        <w:t>“Superbonus 110%”</w:t>
      </w:r>
      <w:r w:rsidRPr="00C55B03">
        <w:rPr>
          <w:rFonts w:ascii="Helvetica" w:hAnsi="Helvetica" w:cs="Helvetica"/>
          <w:bCs/>
          <w:lang w:eastAsia="it-IT"/>
        </w:rPr>
        <w:t xml:space="preserve"> anche le Associazioni (ASD)</w:t>
      </w:r>
      <w:r w:rsidRPr="00C55B03">
        <w:rPr>
          <w:rFonts w:ascii="Helvetica" w:hAnsi="Helvetica" w:cs="Helvetica"/>
          <w:b/>
          <w:lang w:eastAsia="it-IT"/>
        </w:rPr>
        <w:t xml:space="preserve"> </w:t>
      </w:r>
      <w:r w:rsidRPr="00C55B03">
        <w:rPr>
          <w:rFonts w:ascii="Helvetica" w:hAnsi="Helvetica" w:cs="Helvetica"/>
          <w:bCs/>
          <w:lang w:eastAsia="it-IT"/>
        </w:rPr>
        <w:t>e le Società sportive dilettantistiche</w:t>
      </w:r>
      <w:r w:rsidRPr="00C55B03">
        <w:rPr>
          <w:rFonts w:ascii="Helvetica" w:hAnsi="Helvetica" w:cs="Helvetica"/>
          <w:b/>
          <w:lang w:eastAsia="it-IT"/>
        </w:rPr>
        <w:t xml:space="preserve"> </w:t>
      </w:r>
      <w:r w:rsidRPr="00C55B03">
        <w:rPr>
          <w:rFonts w:ascii="Helvetica" w:hAnsi="Helvetica" w:cs="Helvetica"/>
          <w:bCs/>
          <w:lang w:eastAsia="it-IT"/>
        </w:rPr>
        <w:t>(SSD)</w:t>
      </w:r>
      <w:r w:rsidRPr="00C55B03">
        <w:rPr>
          <w:rFonts w:ascii="Helvetica" w:hAnsi="Helvetica" w:cs="Helvetica"/>
          <w:b/>
          <w:lang w:eastAsia="it-IT"/>
        </w:rPr>
        <w:t xml:space="preserve"> </w:t>
      </w:r>
      <w:r w:rsidRPr="00C55B03">
        <w:rPr>
          <w:rFonts w:ascii="Helvetica" w:hAnsi="Helvetica" w:cs="Helvetica"/>
          <w:bCs/>
          <w:lang w:eastAsia="it-IT"/>
        </w:rPr>
        <w:t xml:space="preserve">iscritte nel registro istituito ai sensi dell’articolo 5, comma 2, lettera c), del decreto legislativo n. 242/1999, ma limitatamente ai lavori destinati ai soli immobili o parti di immobili adibiti a spogliatoi (lettera </w:t>
      </w:r>
      <w:r w:rsidRPr="00C55B03">
        <w:rPr>
          <w:rFonts w:ascii="Helvetica" w:hAnsi="Helvetica" w:cs="Helvetica"/>
          <w:bCs/>
          <w:i/>
          <w:iCs/>
          <w:lang w:eastAsia="it-IT"/>
        </w:rPr>
        <w:t>e)</w:t>
      </w:r>
      <w:r w:rsidRPr="00C55B03">
        <w:rPr>
          <w:rFonts w:ascii="Helvetica" w:hAnsi="Helvetica" w:cs="Helvetica"/>
          <w:bCs/>
          <w:lang w:eastAsia="it-IT"/>
        </w:rPr>
        <w:t xml:space="preserve"> del citato articolo);</w:t>
      </w:r>
    </w:p>
    <w:p w:rsidR="004906BE" w:rsidRPr="00C55B03" w:rsidRDefault="004906BE" w:rsidP="003F6FA1">
      <w:pPr>
        <w:tabs>
          <w:tab w:val="left" w:pos="284"/>
        </w:tabs>
        <w:spacing w:after="0" w:line="480" w:lineRule="exact"/>
        <w:ind w:right="-1"/>
        <w:jc w:val="both"/>
        <w:rPr>
          <w:rFonts w:ascii="Times New Roman" w:hAnsi="Times New Roman"/>
          <w:bCs/>
          <w:lang w:eastAsia="it-IT"/>
        </w:rPr>
      </w:pPr>
      <w:r w:rsidRPr="00C55B03">
        <w:rPr>
          <w:rFonts w:ascii="Helvetica" w:hAnsi="Helvetica" w:cs="Helvetica"/>
          <w:bCs/>
          <w:lang w:eastAsia="it-IT"/>
        </w:rPr>
        <w:t xml:space="preserve">- sono, pertanto, beneficiarie del </w:t>
      </w:r>
      <w:r w:rsidRPr="00C55B03">
        <w:rPr>
          <w:rFonts w:ascii="Helvetica" w:hAnsi="Helvetica" w:cs="Helvetica"/>
          <w:spacing w:val="2"/>
        </w:rPr>
        <w:t>“Superbonus 110%”</w:t>
      </w:r>
      <w:r w:rsidRPr="00C55B03">
        <w:rPr>
          <w:rFonts w:ascii="Helvetica" w:hAnsi="Helvetica" w:cs="Helvetica"/>
          <w:bCs/>
          <w:lang w:eastAsia="it-IT"/>
        </w:rPr>
        <w:t xml:space="preserve"> in maniera piena e senza limitazioni tutte le Onlus, (incluse ODV e APS), e in misura più limitata (solo per gli spogliatoi) le ASD e SSD;</w:t>
      </w:r>
    </w:p>
    <w:p w:rsidR="004906BE" w:rsidRPr="00C55B03" w:rsidRDefault="004906BE" w:rsidP="003F6FA1">
      <w:pPr>
        <w:spacing w:line="480" w:lineRule="exact"/>
        <w:jc w:val="center"/>
        <w:rPr>
          <w:rFonts w:ascii="Helvetica" w:hAnsi="Helvetica" w:cs="Helvetica"/>
          <w:b/>
          <w:bCs/>
          <w:lang w:eastAsia="it-IT"/>
        </w:rPr>
      </w:pPr>
      <w:r w:rsidRPr="00C55B03">
        <w:rPr>
          <w:rFonts w:ascii="Helvetica" w:hAnsi="Helvetica" w:cs="Helvetica"/>
          <w:b/>
          <w:bCs/>
          <w:lang w:eastAsia="it-IT"/>
        </w:rPr>
        <w:t>e che</w:t>
      </w:r>
    </w:p>
    <w:p w:rsidR="004906BE" w:rsidRPr="00C55B03" w:rsidRDefault="004906BE" w:rsidP="00445FDE">
      <w:pPr>
        <w:tabs>
          <w:tab w:val="left" w:pos="284"/>
        </w:tabs>
        <w:spacing w:after="0" w:line="480" w:lineRule="exact"/>
        <w:ind w:right="-1"/>
        <w:jc w:val="both"/>
        <w:rPr>
          <w:rFonts w:ascii="Helvetica" w:hAnsi="Helvetica" w:cs="Helvetica"/>
          <w:i/>
          <w:iCs/>
          <w:lang w:eastAsia="it-IT"/>
        </w:rPr>
      </w:pPr>
      <w:r w:rsidRPr="00C55B03">
        <w:rPr>
          <w:rFonts w:ascii="Helvetica" w:hAnsi="Helvetica" w:cs="Helvetica"/>
          <w:bCs/>
          <w:lang w:eastAsia="it-IT"/>
        </w:rPr>
        <w:t>- in merito agli immobili</w:t>
      </w:r>
      <w:r w:rsidRPr="00C55B03">
        <w:rPr>
          <w:rFonts w:ascii="Helvetica" w:hAnsi="Helvetica" w:cs="Helvetica"/>
          <w:b/>
          <w:lang w:eastAsia="it-IT"/>
        </w:rPr>
        <w:t xml:space="preserve"> </w:t>
      </w:r>
      <w:r w:rsidRPr="00C55B03">
        <w:rPr>
          <w:rFonts w:ascii="Helvetica" w:hAnsi="Helvetica" w:cs="Helvetica"/>
          <w:bCs/>
          <w:lang w:eastAsia="it-IT"/>
        </w:rPr>
        <w:t>agevolabili</w:t>
      </w:r>
      <w:r w:rsidRPr="00C55B03">
        <w:rPr>
          <w:rFonts w:ascii="Helvetica" w:hAnsi="Helvetica" w:cs="Helvetica"/>
          <w:b/>
          <w:lang w:eastAsia="it-IT"/>
        </w:rPr>
        <w:t xml:space="preserve">, </w:t>
      </w:r>
      <w:r w:rsidRPr="00C55B03">
        <w:rPr>
          <w:rFonts w:ascii="Helvetica" w:hAnsi="Helvetica" w:cs="Helvetica"/>
          <w:bCs/>
          <w:lang w:eastAsia="it-IT"/>
        </w:rPr>
        <w:t>l’</w:t>
      </w:r>
      <w:r w:rsidRPr="00C55B03">
        <w:rPr>
          <w:rFonts w:ascii="Helvetica" w:hAnsi="Helvetica" w:cs="Helvetica"/>
          <w:lang w:eastAsia="it-IT"/>
        </w:rPr>
        <w:t xml:space="preserve">ente che possieda i requisiti soggettivi de quibus potrà intervenire su tutti gli immobili detenuti ed utilizzati, senza limitazioni: la Circolare n. 30/E/2020 dell’Agenzia delle Entrate ha infatti precisato che </w:t>
      </w:r>
      <w:r w:rsidRPr="00C55B03">
        <w:rPr>
          <w:rFonts w:ascii="Helvetica" w:hAnsi="Helvetica" w:cs="Helvetica"/>
          <w:i/>
          <w:iCs/>
          <w:lang w:eastAsia="it-IT"/>
        </w:rPr>
        <w:t>“per le ONLUS, le APS e le OdV, il comma 9, lettera d-bis) non prevede alcuna limitazione</w:t>
      </w:r>
      <w:r w:rsidRPr="00C55B03">
        <w:rPr>
          <w:rFonts w:ascii="Helvetica" w:hAnsi="Helvetica" w:cs="Helvetica"/>
          <w:b/>
          <w:bCs/>
          <w:i/>
          <w:iCs/>
          <w:lang w:eastAsia="it-IT"/>
        </w:rPr>
        <w:t xml:space="preserve"> </w:t>
      </w:r>
      <w:r w:rsidRPr="00C55B03">
        <w:rPr>
          <w:rFonts w:ascii="Helvetica" w:hAnsi="Helvetica" w:cs="Helvetica"/>
          <w:i/>
          <w:iCs/>
          <w:lang w:eastAsia="it-IT"/>
        </w:rPr>
        <w:t>espressa relativamente alla tipologia di immobili  e, si ritiene che il beneficio spetti per tutti gli interventi agevolabili, indipendentemente dalla categoria catastale e dalla destinazione dell’immobile oggetto degli interventi medesimi ferma restando la necessità che gli interventi ammessi al Superbonus siano effettuati sull’intero edificio o sulle unità immobiliari. Per tali soggetti, inoltre, non opera la limitazione</w:t>
      </w:r>
      <w:r w:rsidRPr="00C55B03">
        <w:rPr>
          <w:rFonts w:ascii="Helvetica" w:hAnsi="Helvetica" w:cs="Helvetica"/>
          <w:b/>
          <w:bCs/>
          <w:i/>
          <w:iCs/>
          <w:lang w:eastAsia="it-IT"/>
        </w:rPr>
        <w:t xml:space="preserve"> </w:t>
      </w:r>
      <w:r w:rsidRPr="00C55B03">
        <w:rPr>
          <w:rFonts w:ascii="Helvetica" w:hAnsi="Helvetica" w:cs="Helvetica"/>
          <w:i/>
          <w:iCs/>
          <w:lang w:eastAsia="it-IT"/>
        </w:rPr>
        <w:t>indicata nella citata circolare n. 24/E del 2020 per le persone fisiche, in ordine all’applicazione del Superbonus agli interventi realizzati sugli immobili “residenziali”, atteso che tale limitazione è funzionale solo ad escludere per le persone fisiche la possibilità di applicare il Superbonus agli immobili destinati all’esercizio dell’attività di impresa o professionale, come espressamente previsto dall’articolo 119, comma 9, lettera b) per le sole persone fisiche”</w:t>
      </w:r>
      <w:r w:rsidRPr="00C55B03">
        <w:rPr>
          <w:rFonts w:ascii="Helvetica" w:hAnsi="Helvetica" w:cs="Helvetica"/>
          <w:lang w:eastAsia="it-IT"/>
        </w:rPr>
        <w:t>;</w:t>
      </w:r>
    </w:p>
    <w:p w:rsidR="004906BE" w:rsidRPr="00C55B03" w:rsidRDefault="004906BE" w:rsidP="00445FDE">
      <w:pPr>
        <w:tabs>
          <w:tab w:val="left" w:pos="284"/>
        </w:tabs>
        <w:spacing w:after="0" w:line="480" w:lineRule="exact"/>
        <w:ind w:right="-1"/>
        <w:jc w:val="both"/>
        <w:rPr>
          <w:rFonts w:ascii="Helvetica" w:hAnsi="Helvetica" w:cs="Helvetica"/>
          <w:lang w:eastAsia="it-IT"/>
        </w:rPr>
      </w:pPr>
      <w:r w:rsidRPr="00C55B03">
        <w:rPr>
          <w:rFonts w:ascii="Helvetica" w:hAnsi="Helvetica" w:cs="Helvetica"/>
          <w:lang w:eastAsia="it-IT"/>
        </w:rPr>
        <w:t>- non sia necessario che l’immobile sia di proprietà dell’Ente, in quanto il credito matura in favore del soggetto che lo detiene (N.B. è invece necessario che il titolo su cui la detenzione si fonda abbia la forma quanto meno di una scrittura privata registrata in data anteriore all’inizio dei lavori e che vi sia l’autorizzazione del proprietario ad effettuare gli stessi: la Circolare n. 24/E dell’Agenzia delle Entrate ha infatti precisato che “</w:t>
      </w:r>
      <w:r w:rsidRPr="00C55B03">
        <w:rPr>
          <w:rFonts w:ascii="Helvetica" w:hAnsi="Helvetica" w:cs="Helvetica"/>
          <w:i/>
          <w:iCs/>
          <w:lang w:eastAsia="it-IT"/>
        </w:rPr>
        <w:t>al fine di garantire la necessaria certezza ai rapporti tributari, la mancanza di un titolo di detenzione dell'immobile risultante da un atto registrato, al momento dell'inizio dei lavori o al momento del sostenimento delle spese se antecedente, preclude il diritto alla detrazione anche se si provvede alla successiva regolarizzazione”</w:t>
      </w:r>
      <w:r w:rsidRPr="00C55B03">
        <w:rPr>
          <w:rFonts w:ascii="Helvetica" w:hAnsi="Helvetica" w:cs="Helvetica"/>
          <w:lang w:eastAsia="it-IT"/>
        </w:rPr>
        <w:t xml:space="preserve">); </w:t>
      </w:r>
    </w:p>
    <w:p w:rsidR="004906BE" w:rsidRPr="00C55B03" w:rsidRDefault="004906BE" w:rsidP="00445FDE">
      <w:pPr>
        <w:spacing w:after="0" w:line="480" w:lineRule="exact"/>
        <w:jc w:val="both"/>
        <w:rPr>
          <w:rFonts w:ascii="Helvetica" w:hAnsi="Helvetica" w:cs="Helvetica"/>
          <w:bCs/>
          <w:lang w:eastAsia="it-IT"/>
        </w:rPr>
      </w:pPr>
      <w:r w:rsidRPr="00C55B03">
        <w:rPr>
          <w:rFonts w:ascii="Helvetica" w:hAnsi="Helvetica" w:cs="Helvetica"/>
          <w:bCs/>
          <w:lang w:eastAsia="it-IT"/>
        </w:rPr>
        <w:t>- l’Agenzia delle Entrate, interpellata per sapere se fosse possibile effettuare interventi su immobili di proprietà di Enti Pubblici, abbia risposto in maniera affermativa, purché vi sia, oltre che l’assenso dell’Ente Pubblico all’esecuzione delle opere, anche un atto legittimante la detenzione;</w:t>
      </w:r>
    </w:p>
    <w:p w:rsidR="004906BE" w:rsidRPr="00C55B03" w:rsidRDefault="004906BE" w:rsidP="00445FDE">
      <w:pPr>
        <w:spacing w:after="0" w:line="480" w:lineRule="exact"/>
        <w:jc w:val="center"/>
        <w:rPr>
          <w:rFonts w:ascii="Helvetica" w:hAnsi="Helvetica" w:cs="Helvetica"/>
          <w:b/>
          <w:bCs/>
          <w:lang w:eastAsia="it-IT"/>
        </w:rPr>
      </w:pPr>
      <w:r w:rsidRPr="00C55B03">
        <w:rPr>
          <w:rFonts w:ascii="Helvetica" w:hAnsi="Helvetica" w:cs="Helvetica"/>
          <w:b/>
          <w:bCs/>
          <w:lang w:eastAsia="it-IT"/>
        </w:rPr>
        <w:t xml:space="preserve">ritenuto che </w:t>
      </w:r>
    </w:p>
    <w:p w:rsidR="004906BE" w:rsidRPr="00C55B03" w:rsidRDefault="004906BE" w:rsidP="00445FDE">
      <w:pPr>
        <w:tabs>
          <w:tab w:val="left" w:pos="284"/>
        </w:tabs>
        <w:spacing w:after="0" w:line="480" w:lineRule="exact"/>
        <w:ind w:right="-1"/>
        <w:jc w:val="both"/>
        <w:rPr>
          <w:rFonts w:ascii="Helvetica" w:hAnsi="Helvetica" w:cs="Helvetica"/>
          <w:bCs/>
          <w:lang w:eastAsia="it-IT"/>
        </w:rPr>
      </w:pPr>
      <w:r w:rsidRPr="00C55B03">
        <w:rPr>
          <w:rFonts w:ascii="Helvetica" w:hAnsi="Helvetica" w:cs="Helvetica"/>
        </w:rPr>
        <w:t>nonostante ciò, l’</w:t>
      </w:r>
      <w:r w:rsidRPr="00C55B03">
        <w:rPr>
          <w:rFonts w:ascii="Helvetica" w:hAnsi="Helvetica" w:cs="Helvetica"/>
          <w:bCs/>
          <w:lang w:eastAsia="it-IT"/>
        </w:rPr>
        <w:t xml:space="preserve">Associazionismo ed il Terzo Settore stiano tardando ad utilizzare tale beneficio, non solo per la complessità della disciplina, ma soprattutto perché la pandemia </w:t>
      </w:r>
      <w:r>
        <w:rPr>
          <w:rFonts w:ascii="Helvetica" w:hAnsi="Helvetica" w:cs="Helvetica"/>
          <w:bCs/>
          <w:lang w:eastAsia="it-IT"/>
        </w:rPr>
        <w:t xml:space="preserve">da Covid 19 </w:t>
      </w:r>
      <w:r w:rsidRPr="00C55B03">
        <w:rPr>
          <w:rFonts w:ascii="Helvetica" w:hAnsi="Helvetica" w:cs="Helvetica"/>
          <w:bCs/>
          <w:lang w:eastAsia="it-IT"/>
        </w:rPr>
        <w:t xml:space="preserve">ha colpito il privato sociale in uno dei suoi tratti distintivi, inibendo l’aggregazione e la socialità, e lo ha contestualmente impegnato in prima linea, sia sul fronte sanitario che su quello sociale, lasciandogli tempo ed energie appena sufficienti per occuparsi delle incisive riforme di settore da tempo attese: da una parte l’attuazione del Codice Terzo Settore (CTS) con l’entrata in vigore del Registro Unico del Terzo Settore e, dall’altra, la riforma dello Sport, che ha visto il riordino delle disposizioni in materia di enti sportivi dilettantistici; </w:t>
      </w:r>
    </w:p>
    <w:p w:rsidR="004906BE" w:rsidRPr="00C55B03" w:rsidRDefault="004906BE" w:rsidP="00445FDE">
      <w:pPr>
        <w:tabs>
          <w:tab w:val="left" w:pos="284"/>
        </w:tabs>
        <w:spacing w:after="0" w:line="480" w:lineRule="exact"/>
        <w:ind w:right="-1"/>
        <w:jc w:val="center"/>
        <w:rPr>
          <w:rFonts w:ascii="Helvetica" w:hAnsi="Helvetica" w:cs="Helvetica"/>
          <w:b/>
          <w:lang w:eastAsia="it-IT"/>
        </w:rPr>
      </w:pPr>
      <w:r w:rsidRPr="00C55B03">
        <w:rPr>
          <w:rFonts w:ascii="Helvetica" w:hAnsi="Helvetica" w:cs="Helvetica"/>
          <w:b/>
          <w:lang w:eastAsia="it-IT"/>
        </w:rPr>
        <w:t>considerato come</w:t>
      </w:r>
    </w:p>
    <w:p w:rsidR="004906BE" w:rsidRPr="00011B51" w:rsidRDefault="004906BE" w:rsidP="00445FDE">
      <w:pPr>
        <w:tabs>
          <w:tab w:val="left" w:pos="284"/>
        </w:tabs>
        <w:spacing w:after="0" w:line="480" w:lineRule="exact"/>
        <w:ind w:right="-1"/>
        <w:jc w:val="both"/>
        <w:rPr>
          <w:rFonts w:ascii="Helvetica" w:hAnsi="Helvetica" w:cs="Helvetica"/>
          <w:bCs/>
          <w:lang w:eastAsia="it-IT"/>
        </w:rPr>
      </w:pPr>
      <w:r w:rsidRPr="00C55B03">
        <w:rPr>
          <w:rFonts w:ascii="Helvetica" w:hAnsi="Helvetica" w:cs="Helvetica"/>
          <w:bCs/>
          <w:lang w:eastAsia="it-IT"/>
        </w:rPr>
        <w:t xml:space="preserve">il sistema del </w:t>
      </w:r>
      <w:r w:rsidRPr="00C55B03">
        <w:rPr>
          <w:rFonts w:ascii="Helvetica" w:hAnsi="Helvetica" w:cs="Helvetica"/>
          <w:spacing w:val="2"/>
        </w:rPr>
        <w:t>“Superbonus 110%”</w:t>
      </w:r>
      <w:r w:rsidRPr="00C55B03">
        <w:rPr>
          <w:rFonts w:ascii="Helvetica" w:hAnsi="Helvetica" w:cs="Helvetica"/>
          <w:bCs/>
          <w:lang w:eastAsia="it-IT"/>
        </w:rPr>
        <w:t xml:space="preserve"> offra agli Enti destinatari della misura vaste opportunità, che potrebbero essere ancor più ampie se l’Italia dovesse determinarsi ad inserire il </w:t>
      </w:r>
      <w:r w:rsidRPr="00C55B03">
        <w:rPr>
          <w:rFonts w:ascii="Helvetica" w:hAnsi="Helvetica" w:cs="Helvetica"/>
          <w:spacing w:val="2"/>
        </w:rPr>
        <w:t>“Superbonus 110%”</w:t>
      </w:r>
      <w:r w:rsidRPr="00C55B03">
        <w:rPr>
          <w:rFonts w:ascii="Helvetica" w:hAnsi="Helvetica" w:cs="Helvetica"/>
          <w:bCs/>
          <w:lang w:eastAsia="it-IT"/>
        </w:rPr>
        <w:t xml:space="preserve"> nel Next Generation Eu, prorogandone la portata a tutto il 2023,</w:t>
      </w:r>
      <w:r>
        <w:rPr>
          <w:rFonts w:ascii="Helvetica" w:hAnsi="Helvetica" w:cs="Helvetica"/>
          <w:bCs/>
          <w:lang w:eastAsia="it-IT"/>
        </w:rPr>
        <w:t xml:space="preserve"> </w:t>
      </w:r>
      <w:r w:rsidRPr="00011B51">
        <w:rPr>
          <w:rFonts w:ascii="Helvetica" w:hAnsi="Helvetica" w:cs="Helvetica"/>
          <w:bCs/>
          <w:lang w:eastAsia="it-IT"/>
        </w:rPr>
        <w:t>e coordinando la disciplina con quella introdotta dal Codice Terzo Settore estendendo il beneficio a tutti gli ETS;</w:t>
      </w:r>
    </w:p>
    <w:p w:rsidR="004906BE" w:rsidRPr="00C55B03" w:rsidRDefault="004906BE" w:rsidP="00101038">
      <w:pPr>
        <w:tabs>
          <w:tab w:val="left" w:pos="284"/>
        </w:tabs>
        <w:spacing w:after="0" w:line="480" w:lineRule="exact"/>
        <w:ind w:right="-1"/>
        <w:jc w:val="both"/>
        <w:rPr>
          <w:rFonts w:ascii="Helvetica" w:hAnsi="Helvetica" w:cs="Helvetica"/>
        </w:rPr>
      </w:pPr>
      <w:r w:rsidRPr="00C55B03">
        <w:rPr>
          <w:rFonts w:ascii="Helvetica" w:hAnsi="Helvetica" w:cs="Helvetica"/>
        </w:rPr>
        <w:t>tutto ciò premesso, ritenuto e considerato,</w:t>
      </w:r>
    </w:p>
    <w:p w:rsidR="004906BE" w:rsidRPr="00C55B03" w:rsidRDefault="004906BE" w:rsidP="00600407">
      <w:pPr>
        <w:spacing w:line="480" w:lineRule="exact"/>
        <w:jc w:val="center"/>
        <w:rPr>
          <w:rFonts w:ascii="Helvetica" w:hAnsi="Helvetica" w:cs="Helvetica"/>
          <w:b/>
          <w:bCs/>
        </w:rPr>
      </w:pPr>
      <w:r w:rsidRPr="00C55B03">
        <w:rPr>
          <w:rFonts w:ascii="Helvetica" w:hAnsi="Helvetica" w:cs="Helvetica"/>
          <w:b/>
          <w:bCs/>
        </w:rPr>
        <w:t>il Consiglio Comunale di Modena</w:t>
      </w:r>
    </w:p>
    <w:p w:rsidR="004906BE" w:rsidRPr="00C55B03" w:rsidRDefault="004906BE" w:rsidP="00A1002A">
      <w:pPr>
        <w:spacing w:line="480" w:lineRule="exact"/>
        <w:jc w:val="both"/>
        <w:rPr>
          <w:rFonts w:ascii="Helvetica" w:hAnsi="Helvetica" w:cs="Helvetica"/>
        </w:rPr>
      </w:pPr>
      <w:r w:rsidRPr="00C55B03">
        <w:rPr>
          <w:rFonts w:ascii="Helvetica" w:hAnsi="Helvetica" w:cs="Helvetica"/>
        </w:rPr>
        <w:t xml:space="preserve">ribadita la centralità e l’importanza dell’incentivo “Superbonus 110%” anche per gli Enti del Terzo Settore e sottolineata la </w:t>
      </w:r>
      <w:r w:rsidRPr="00C55B03">
        <w:rPr>
          <w:rFonts w:ascii="Helvetica" w:hAnsi="Helvetica"/>
        </w:rPr>
        <w:t>ricchezza del territorio modenese circa la presenza di volontariato e terzo settore,</w:t>
      </w:r>
    </w:p>
    <w:p w:rsidR="004906BE" w:rsidRPr="00C55B03" w:rsidRDefault="004906BE" w:rsidP="00600407">
      <w:pPr>
        <w:spacing w:line="480" w:lineRule="exact"/>
        <w:jc w:val="center"/>
        <w:rPr>
          <w:rFonts w:ascii="Helvetica" w:hAnsi="Helvetica" w:cs="Helvetica"/>
          <w:b/>
          <w:bCs/>
        </w:rPr>
      </w:pPr>
      <w:r w:rsidRPr="00C55B03">
        <w:rPr>
          <w:rFonts w:ascii="Helvetica" w:hAnsi="Helvetica" w:cs="Helvetica"/>
          <w:b/>
          <w:bCs/>
        </w:rPr>
        <w:t>impegna il Sindaco e la Giunta a:</w:t>
      </w:r>
    </w:p>
    <w:p w:rsidR="004906BE" w:rsidRPr="00011B51" w:rsidRDefault="004906BE" w:rsidP="00AD79C5">
      <w:pPr>
        <w:spacing w:line="480" w:lineRule="exact"/>
        <w:jc w:val="both"/>
        <w:rPr>
          <w:rFonts w:ascii="Helvetica" w:hAnsi="Helvetica" w:cs="Helvetica"/>
        </w:rPr>
      </w:pPr>
      <w:r w:rsidRPr="00C55B03">
        <w:rPr>
          <w:rFonts w:ascii="Helvetica" w:hAnsi="Helvetica" w:cs="Helvetica"/>
        </w:rPr>
        <w:t xml:space="preserve">- invitare Governo e Parlamento a potenziare e prorogare il </w:t>
      </w:r>
      <w:r w:rsidRPr="00C55B03">
        <w:rPr>
          <w:rFonts w:ascii="Helvetica" w:hAnsi="Helvetica" w:cs="Helvetica"/>
          <w:spacing w:val="2"/>
        </w:rPr>
        <w:t>“Superbonus 110%”</w:t>
      </w:r>
      <w:r w:rsidRPr="00C55B03">
        <w:rPr>
          <w:rFonts w:ascii="Helvetica" w:hAnsi="Helvetica" w:cs="Helvetica"/>
        </w:rPr>
        <w:t xml:space="preserve"> p</w:t>
      </w:r>
      <w:r w:rsidRPr="00011B51">
        <w:rPr>
          <w:rFonts w:ascii="Helvetica" w:hAnsi="Helvetica" w:cs="Helvetica"/>
        </w:rPr>
        <w:t>er gli Enti del Terzo Settore;</w:t>
      </w:r>
    </w:p>
    <w:p w:rsidR="004906BE" w:rsidRPr="00011B51" w:rsidRDefault="004906BE" w:rsidP="00D62675">
      <w:pPr>
        <w:spacing w:line="480" w:lineRule="exact"/>
        <w:jc w:val="both"/>
        <w:rPr>
          <w:rFonts w:ascii="Helvetica" w:hAnsi="Helvetica" w:cs="Helvetica"/>
        </w:rPr>
      </w:pPr>
      <w:r w:rsidRPr="00011B51">
        <w:rPr>
          <w:rFonts w:ascii="Helvetica" w:hAnsi="Helvetica" w:cs="Helvetica"/>
        </w:rPr>
        <w:t xml:space="preserve">- mappare i beni immobili comunali oggi affidati ad ONLUS od Enti sportivi dilettantistici necessitanti di interventi rientranti nelle opere previste dal “Superbonus 110%”, invitando gli Enti che già detengono i beni comunali a realizzare i lavori, mentre per gli immobili tuttora non utilizzati emanare avvisi a co-progettare; </w:t>
      </w:r>
    </w:p>
    <w:p w:rsidR="004906BE" w:rsidRPr="00011B51" w:rsidRDefault="004906BE" w:rsidP="00AD79C5">
      <w:pPr>
        <w:spacing w:line="480" w:lineRule="exact"/>
        <w:jc w:val="both"/>
        <w:rPr>
          <w:rFonts w:ascii="Helvetica" w:hAnsi="Helvetica" w:cs="Helvetica"/>
        </w:rPr>
      </w:pPr>
      <w:r w:rsidRPr="00011B51">
        <w:rPr>
          <w:rFonts w:ascii="Helvetica" w:hAnsi="Helvetica" w:cs="Helvetica"/>
        </w:rPr>
        <w:t>- favorire, sostenere e facilitare, dal lato tecnico, l’accesso ai documenti necessari, attraverso appositi convenzioni od accordi, o attraverso modifiche degli accordi esistenti, quegli Enti che siano disponibili ad attivarsi per il recupero energetico di immobili di proprietà comunale o per il recupero di immobili pubblici inutilizzati presenti sul territorio modenese;</w:t>
      </w:r>
    </w:p>
    <w:p w:rsidR="004906BE" w:rsidRPr="00011B51" w:rsidRDefault="004906BE" w:rsidP="00AD79C5">
      <w:pPr>
        <w:spacing w:line="480" w:lineRule="exact"/>
        <w:jc w:val="both"/>
        <w:rPr>
          <w:rFonts w:ascii="Helvetica" w:hAnsi="Helvetica" w:cs="Helvetica"/>
        </w:rPr>
      </w:pPr>
      <w:r w:rsidRPr="00011B51">
        <w:rPr>
          <w:rFonts w:ascii="Helvetica" w:hAnsi="Helvetica" w:cs="Helvetica"/>
        </w:rPr>
        <w:t>- riferire al Consiglio comunale circa le azioni intraprese ed i loro esiti.</w:t>
      </w:r>
    </w:p>
    <w:p w:rsidR="004906BE" w:rsidRPr="00011B51" w:rsidRDefault="004906BE" w:rsidP="00AD79C5">
      <w:pPr>
        <w:spacing w:line="480" w:lineRule="exact"/>
        <w:jc w:val="both"/>
        <w:rPr>
          <w:rFonts w:ascii="Helvetica" w:hAnsi="Helvetica" w:cs="Helvetica"/>
          <w:b/>
          <w:bCs/>
          <w:color w:val="FF0000"/>
        </w:rPr>
      </w:pPr>
      <w:r w:rsidRPr="00011B51">
        <w:rPr>
          <w:rFonts w:ascii="Helvetica" w:hAnsi="Helvetica" w:cs="Helvetica"/>
          <w:color w:val="FF0000"/>
        </w:rPr>
        <w:tab/>
      </w:r>
      <w:r w:rsidRPr="00011B51">
        <w:rPr>
          <w:rFonts w:ascii="Helvetica" w:hAnsi="Helvetica" w:cs="Helvetica"/>
          <w:color w:val="FF0000"/>
        </w:rPr>
        <w:tab/>
      </w:r>
    </w:p>
    <w:p w:rsidR="004906BE" w:rsidRPr="00011B51" w:rsidRDefault="004906BE" w:rsidP="00AD79C5">
      <w:pPr>
        <w:spacing w:line="480" w:lineRule="exact"/>
        <w:jc w:val="both"/>
        <w:rPr>
          <w:rFonts w:ascii="Helvetica" w:hAnsi="Helvetica" w:cs="Helvetica"/>
          <w:b/>
          <w:bCs/>
        </w:rPr>
      </w:pP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r>
      <w:r w:rsidRPr="00011B51">
        <w:rPr>
          <w:rFonts w:ascii="Helvetica" w:hAnsi="Helvetica" w:cs="Helvetica"/>
          <w:b/>
          <w:bCs/>
        </w:rPr>
        <w:tab/>
        <w:t xml:space="preserve">  I Consiglieri firmatari                                    </w:t>
      </w:r>
    </w:p>
    <w:p w:rsidR="004906BE" w:rsidRPr="00011B51" w:rsidRDefault="004906BE" w:rsidP="009977DA">
      <w:pPr>
        <w:spacing w:line="480" w:lineRule="exact"/>
        <w:rPr>
          <w:rFonts w:ascii="Helvetica" w:hAnsi="Helvetica" w:cs="Helvetica"/>
          <w:b/>
          <w:bCs/>
        </w:rPr>
      </w:pPr>
      <w:r w:rsidRPr="00011B51">
        <w:rPr>
          <w:rFonts w:ascii="Helvetica" w:hAnsi="Helvetica" w:cs="Helvetica"/>
          <w:b/>
          <w:bCs/>
        </w:rPr>
        <w:t xml:space="preserve">                                                            </w:t>
      </w:r>
      <w:r w:rsidRPr="00011B51">
        <w:rPr>
          <w:rFonts w:ascii="Helvetica" w:hAnsi="Helvetica" w:cs="Helvetica"/>
          <w:b/>
          <w:bCs/>
        </w:rPr>
        <w:tab/>
      </w:r>
      <w:r w:rsidRPr="00011B51">
        <w:rPr>
          <w:rFonts w:ascii="Helvetica" w:hAnsi="Helvetica" w:cs="Helvetica"/>
          <w:b/>
          <w:bCs/>
        </w:rPr>
        <w:tab/>
        <w:t xml:space="preserve">                                   Piergiulio Giacobazzi</w:t>
      </w:r>
    </w:p>
    <w:p w:rsidR="004906BE" w:rsidRPr="00011B51" w:rsidRDefault="004906BE" w:rsidP="00011B51">
      <w:pPr>
        <w:spacing w:line="480" w:lineRule="exact"/>
        <w:ind w:left="7080"/>
        <w:rPr>
          <w:rFonts w:ascii="Helvetica" w:hAnsi="Helvetica" w:cs="Helvetica"/>
          <w:b/>
          <w:bCs/>
        </w:rPr>
      </w:pPr>
      <w:r w:rsidRPr="00011B51">
        <w:rPr>
          <w:rFonts w:ascii="Helvetica" w:hAnsi="Helvetica" w:cs="Helvetica"/>
          <w:b/>
          <w:bCs/>
        </w:rPr>
        <w:t xml:space="preserve">   Elisa Rossini</w:t>
      </w:r>
    </w:p>
    <w:p w:rsidR="004906BE" w:rsidRPr="00011B51" w:rsidRDefault="004906BE" w:rsidP="00011B51">
      <w:pPr>
        <w:spacing w:line="480" w:lineRule="exact"/>
        <w:ind w:left="7080"/>
        <w:rPr>
          <w:rFonts w:ascii="Helvetica" w:hAnsi="Helvetica" w:cs="Helvetica"/>
          <w:b/>
          <w:bCs/>
        </w:rPr>
      </w:pPr>
      <w:r w:rsidRPr="00011B51">
        <w:rPr>
          <w:rFonts w:ascii="Helvetica" w:hAnsi="Helvetica" w:cs="Helvetica"/>
          <w:b/>
          <w:bCs/>
        </w:rPr>
        <w:t xml:space="preserve">   Alberto Bosi</w:t>
      </w:r>
    </w:p>
    <w:p w:rsidR="004906BE" w:rsidRDefault="004906BE" w:rsidP="009977DA">
      <w:pPr>
        <w:spacing w:line="480" w:lineRule="exact"/>
        <w:rPr>
          <w:rFonts w:ascii="Helvetica" w:hAnsi="Helvetica" w:cs="Helvetica"/>
          <w:b/>
          <w:bCs/>
        </w:rPr>
      </w:pPr>
    </w:p>
    <w:p w:rsidR="004906BE" w:rsidRDefault="004906BE" w:rsidP="009977DA">
      <w:pPr>
        <w:spacing w:line="480" w:lineRule="exact"/>
        <w:rPr>
          <w:rFonts w:ascii="Helvetica" w:hAnsi="Helvetica" w:cs="Helvetica"/>
          <w:b/>
          <w:bCs/>
        </w:rPr>
      </w:pPr>
    </w:p>
    <w:p w:rsidR="004906BE" w:rsidRPr="00600407" w:rsidRDefault="004906BE" w:rsidP="009977DA">
      <w:pPr>
        <w:spacing w:line="480" w:lineRule="exact"/>
        <w:rPr>
          <w:rFonts w:ascii="Helvetica" w:hAnsi="Helvetica" w:cs="Helvetica"/>
          <w:b/>
          <w:bCs/>
        </w:rPr>
      </w:pPr>
    </w:p>
    <w:p w:rsidR="004906BE" w:rsidRPr="009977DA" w:rsidRDefault="004906BE" w:rsidP="009977DA">
      <w:pPr>
        <w:spacing w:line="480" w:lineRule="exact"/>
        <w:rPr>
          <w:rFonts w:ascii="Helvetica" w:hAnsi="Helvetica" w:cs="Helvetica"/>
        </w:rPr>
      </w:pPr>
      <w:r w:rsidRPr="009977DA">
        <w:rPr>
          <w:rFonts w:ascii="Helvetica" w:hAnsi="Helvetica" w:cs="Helvetica"/>
        </w:rPr>
        <w:t xml:space="preserve">Si autorizza la diffusione a mezzo stampa </w:t>
      </w:r>
    </w:p>
    <w:sectPr w:rsidR="004906BE" w:rsidRPr="009977DA" w:rsidSect="00FD2818">
      <w:footerReference w:type="default" r:id="rId8"/>
      <w:pgSz w:w="12240" w:h="15840"/>
      <w:pgMar w:top="1440" w:right="1080" w:bottom="144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6BE" w:rsidRDefault="004906BE" w:rsidP="00DE5953">
      <w:r>
        <w:separator/>
      </w:r>
    </w:p>
  </w:endnote>
  <w:endnote w:type="continuationSeparator" w:id="0">
    <w:p w:rsidR="004906BE" w:rsidRDefault="004906BE" w:rsidP="00DE5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BE" w:rsidRDefault="004906BE">
    <w:pPr>
      <w:pStyle w:val="Footer"/>
      <w:jc w:val="center"/>
    </w:pPr>
    <w:fldSimple w:instr="PAGE   \* MERGEFORMAT">
      <w:r>
        <w:rPr>
          <w:noProof/>
        </w:rPr>
        <w:t>1</w:t>
      </w:r>
    </w:fldSimple>
  </w:p>
  <w:p w:rsidR="004906BE" w:rsidRDefault="004906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6BE" w:rsidRDefault="004906BE" w:rsidP="00DE5953">
      <w:r>
        <w:separator/>
      </w:r>
    </w:p>
  </w:footnote>
  <w:footnote w:type="continuationSeparator" w:id="0">
    <w:p w:rsidR="004906BE" w:rsidRDefault="004906BE" w:rsidP="00DE5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C497F43"/>
    <w:multiLevelType w:val="multilevel"/>
    <w:tmpl w:val="FC04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80348"/>
    <w:multiLevelType w:val="hybridMultilevel"/>
    <w:tmpl w:val="22CC6826"/>
    <w:lvl w:ilvl="0" w:tplc="424CF308">
      <w:numFmt w:val="bullet"/>
      <w:lvlText w:val="-"/>
      <w:lvlJc w:val="left"/>
      <w:pPr>
        <w:ind w:left="76" w:hanging="360"/>
      </w:pPr>
      <w:rPr>
        <w:rFonts w:ascii="Helvetica" w:eastAsia="Times New Roman" w:hAnsi="Helvetica"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6">
    <w:nsid w:val="319C76DD"/>
    <w:multiLevelType w:val="multilevel"/>
    <w:tmpl w:val="A5F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2C1182"/>
    <w:multiLevelType w:val="hybridMultilevel"/>
    <w:tmpl w:val="122431C0"/>
    <w:lvl w:ilvl="0" w:tplc="2F9A960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77E0D1A"/>
    <w:multiLevelType w:val="multilevel"/>
    <w:tmpl w:val="A108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596E70"/>
    <w:multiLevelType w:val="hybridMultilevel"/>
    <w:tmpl w:val="483A3F42"/>
    <w:lvl w:ilvl="0" w:tplc="A7620C54">
      <w:numFmt w:val="bullet"/>
      <w:lvlText w:val=""/>
      <w:lvlJc w:val="left"/>
      <w:pPr>
        <w:ind w:left="76" w:hanging="360"/>
      </w:pPr>
      <w:rPr>
        <w:rFonts w:ascii="Symbol" w:eastAsia="Times New Roman" w:hAnsi="Symbol"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nsid w:val="44EE163C"/>
    <w:multiLevelType w:val="hybridMultilevel"/>
    <w:tmpl w:val="4D0651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57691B6F"/>
    <w:multiLevelType w:val="hybridMultilevel"/>
    <w:tmpl w:val="9BFEF8EC"/>
    <w:lvl w:ilvl="0" w:tplc="22E6289E">
      <w:numFmt w:val="bullet"/>
      <w:lvlText w:val="-"/>
      <w:lvlJc w:val="left"/>
      <w:pPr>
        <w:ind w:left="294" w:hanging="360"/>
      </w:pPr>
      <w:rPr>
        <w:rFonts w:ascii="Times New Roman" w:eastAsia="Times New Roman" w:hAnsi="Times New Roman" w:hint="default"/>
      </w:rPr>
    </w:lvl>
    <w:lvl w:ilvl="1" w:tplc="08090003" w:tentative="1">
      <w:start w:val="1"/>
      <w:numFmt w:val="bullet"/>
      <w:lvlText w:val="o"/>
      <w:lvlJc w:val="left"/>
      <w:pPr>
        <w:ind w:left="1014" w:hanging="360"/>
      </w:pPr>
      <w:rPr>
        <w:rFonts w:ascii="Courier New" w:hAnsi="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nsid w:val="5E0D56A7"/>
    <w:multiLevelType w:val="hybridMultilevel"/>
    <w:tmpl w:val="F462FD8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61356FCF"/>
    <w:multiLevelType w:val="hybridMultilevel"/>
    <w:tmpl w:val="802EEE54"/>
    <w:lvl w:ilvl="0" w:tplc="8BEAFD2E">
      <w:numFmt w:val="bullet"/>
      <w:lvlText w:val="-"/>
      <w:lvlJc w:val="left"/>
      <w:pPr>
        <w:ind w:left="720" w:hanging="360"/>
      </w:pPr>
      <w:rPr>
        <w:rFonts w:ascii="Times New Roman" w:hAnsi="Times New Roman" w:hint="default"/>
      </w:rPr>
    </w:lvl>
    <w:lvl w:ilvl="1" w:tplc="8BEAFD2E">
      <w:numFmt w:val="bullet"/>
      <w:lvlText w:val="-"/>
      <w:lvlJc w:val="left"/>
      <w:pPr>
        <w:ind w:left="1353" w:hanging="360"/>
      </w:pPr>
      <w:rPr>
        <w:rFonts w:ascii="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5737D94"/>
    <w:multiLevelType w:val="hybridMultilevel"/>
    <w:tmpl w:val="047A263A"/>
    <w:lvl w:ilvl="0" w:tplc="36DE4E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0"/>
  </w:num>
  <w:num w:numId="7">
    <w:abstractNumId w:val="9"/>
  </w:num>
  <w:num w:numId="8">
    <w:abstractNumId w:val="5"/>
  </w:num>
  <w:num w:numId="9">
    <w:abstractNumId w:val="7"/>
  </w:num>
  <w:num w:numId="10">
    <w:abstractNumId w:val="14"/>
  </w:num>
  <w:num w:numId="11">
    <w:abstractNumId w:val="13"/>
  </w:num>
  <w:num w:numId="12">
    <w:abstractNumId w:val="11"/>
  </w:num>
  <w:num w:numId="13">
    <w:abstractNumId w:val="8"/>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4BDF"/>
    <w:rsid w:val="00011B51"/>
    <w:rsid w:val="00035527"/>
    <w:rsid w:val="00040DE1"/>
    <w:rsid w:val="00047178"/>
    <w:rsid w:val="00057825"/>
    <w:rsid w:val="0006573A"/>
    <w:rsid w:val="00082B6C"/>
    <w:rsid w:val="0009104C"/>
    <w:rsid w:val="000A41E8"/>
    <w:rsid w:val="000B2E2C"/>
    <w:rsid w:val="000C04E0"/>
    <w:rsid w:val="000C2F0B"/>
    <w:rsid w:val="000E6AA6"/>
    <w:rsid w:val="000F67F4"/>
    <w:rsid w:val="000F7069"/>
    <w:rsid w:val="00101038"/>
    <w:rsid w:val="00110FD0"/>
    <w:rsid w:val="001275E0"/>
    <w:rsid w:val="00137958"/>
    <w:rsid w:val="00151A2A"/>
    <w:rsid w:val="00164F70"/>
    <w:rsid w:val="0017068F"/>
    <w:rsid w:val="001819E9"/>
    <w:rsid w:val="001A32C0"/>
    <w:rsid w:val="001C520D"/>
    <w:rsid w:val="001F6117"/>
    <w:rsid w:val="00200034"/>
    <w:rsid w:val="00202FC1"/>
    <w:rsid w:val="00225530"/>
    <w:rsid w:val="0027003E"/>
    <w:rsid w:val="002B0549"/>
    <w:rsid w:val="002D290E"/>
    <w:rsid w:val="002E36C0"/>
    <w:rsid w:val="003210BD"/>
    <w:rsid w:val="00322687"/>
    <w:rsid w:val="003402A1"/>
    <w:rsid w:val="00342332"/>
    <w:rsid w:val="00354ECA"/>
    <w:rsid w:val="00355ECA"/>
    <w:rsid w:val="00356A4D"/>
    <w:rsid w:val="00373AA5"/>
    <w:rsid w:val="003A012B"/>
    <w:rsid w:val="003D371B"/>
    <w:rsid w:val="003D545A"/>
    <w:rsid w:val="003D7428"/>
    <w:rsid w:val="003F6FA1"/>
    <w:rsid w:val="004158B5"/>
    <w:rsid w:val="00433EFC"/>
    <w:rsid w:val="00445FDE"/>
    <w:rsid w:val="004906BE"/>
    <w:rsid w:val="0049273E"/>
    <w:rsid w:val="00494A85"/>
    <w:rsid w:val="004A4B39"/>
    <w:rsid w:val="004A779E"/>
    <w:rsid w:val="004D2B7F"/>
    <w:rsid w:val="004D4199"/>
    <w:rsid w:val="004F4874"/>
    <w:rsid w:val="00523FAE"/>
    <w:rsid w:val="00576C16"/>
    <w:rsid w:val="005E2DE0"/>
    <w:rsid w:val="00600407"/>
    <w:rsid w:val="00644677"/>
    <w:rsid w:val="00646CCD"/>
    <w:rsid w:val="006B3E3B"/>
    <w:rsid w:val="006C68C1"/>
    <w:rsid w:val="006D6425"/>
    <w:rsid w:val="006E1BA9"/>
    <w:rsid w:val="0071585B"/>
    <w:rsid w:val="007339D0"/>
    <w:rsid w:val="0073736A"/>
    <w:rsid w:val="00741345"/>
    <w:rsid w:val="00743543"/>
    <w:rsid w:val="00746797"/>
    <w:rsid w:val="00780C1D"/>
    <w:rsid w:val="007A0E30"/>
    <w:rsid w:val="007D7B08"/>
    <w:rsid w:val="007E5B0C"/>
    <w:rsid w:val="0080781C"/>
    <w:rsid w:val="00826345"/>
    <w:rsid w:val="008341EB"/>
    <w:rsid w:val="0084238E"/>
    <w:rsid w:val="0087421B"/>
    <w:rsid w:val="008952E9"/>
    <w:rsid w:val="008B0373"/>
    <w:rsid w:val="008B6C0A"/>
    <w:rsid w:val="008C7976"/>
    <w:rsid w:val="008D020A"/>
    <w:rsid w:val="008E708B"/>
    <w:rsid w:val="00901461"/>
    <w:rsid w:val="00914040"/>
    <w:rsid w:val="009225D0"/>
    <w:rsid w:val="00925A9F"/>
    <w:rsid w:val="009658DD"/>
    <w:rsid w:val="009667A2"/>
    <w:rsid w:val="0099756F"/>
    <w:rsid w:val="009977DA"/>
    <w:rsid w:val="009C5D58"/>
    <w:rsid w:val="009D35EA"/>
    <w:rsid w:val="00A028A4"/>
    <w:rsid w:val="00A1002A"/>
    <w:rsid w:val="00A20DAD"/>
    <w:rsid w:val="00A27B63"/>
    <w:rsid w:val="00A301A6"/>
    <w:rsid w:val="00A43D31"/>
    <w:rsid w:val="00A46E9D"/>
    <w:rsid w:val="00A57D6C"/>
    <w:rsid w:val="00A7623C"/>
    <w:rsid w:val="00A91E92"/>
    <w:rsid w:val="00A92D8B"/>
    <w:rsid w:val="00A92EE8"/>
    <w:rsid w:val="00AA79C5"/>
    <w:rsid w:val="00AD79C5"/>
    <w:rsid w:val="00AF2F9F"/>
    <w:rsid w:val="00B37018"/>
    <w:rsid w:val="00B6136A"/>
    <w:rsid w:val="00B67DFD"/>
    <w:rsid w:val="00B839CE"/>
    <w:rsid w:val="00B94F79"/>
    <w:rsid w:val="00BA556A"/>
    <w:rsid w:val="00BB4BCC"/>
    <w:rsid w:val="00BE095A"/>
    <w:rsid w:val="00BE284C"/>
    <w:rsid w:val="00C02554"/>
    <w:rsid w:val="00C06D6A"/>
    <w:rsid w:val="00C27D6E"/>
    <w:rsid w:val="00C5541C"/>
    <w:rsid w:val="00C55B03"/>
    <w:rsid w:val="00C6549D"/>
    <w:rsid w:val="00C915DC"/>
    <w:rsid w:val="00C91ED2"/>
    <w:rsid w:val="00CA0A24"/>
    <w:rsid w:val="00CA38E2"/>
    <w:rsid w:val="00CA3CA8"/>
    <w:rsid w:val="00CA70C8"/>
    <w:rsid w:val="00CD2EA1"/>
    <w:rsid w:val="00CD5B4B"/>
    <w:rsid w:val="00CE5827"/>
    <w:rsid w:val="00CF21E8"/>
    <w:rsid w:val="00CF246F"/>
    <w:rsid w:val="00D12336"/>
    <w:rsid w:val="00D14BDF"/>
    <w:rsid w:val="00D165A9"/>
    <w:rsid w:val="00D30EBA"/>
    <w:rsid w:val="00D62675"/>
    <w:rsid w:val="00D92E89"/>
    <w:rsid w:val="00DB6063"/>
    <w:rsid w:val="00DC328F"/>
    <w:rsid w:val="00DE0390"/>
    <w:rsid w:val="00DE5953"/>
    <w:rsid w:val="00DF7DFA"/>
    <w:rsid w:val="00E20F2D"/>
    <w:rsid w:val="00E42513"/>
    <w:rsid w:val="00E47426"/>
    <w:rsid w:val="00E71392"/>
    <w:rsid w:val="00E96574"/>
    <w:rsid w:val="00EA26CA"/>
    <w:rsid w:val="00EA5658"/>
    <w:rsid w:val="00EB18FF"/>
    <w:rsid w:val="00EB36E6"/>
    <w:rsid w:val="00EC0ABF"/>
    <w:rsid w:val="00ED0408"/>
    <w:rsid w:val="00ED2FC4"/>
    <w:rsid w:val="00ED5C52"/>
    <w:rsid w:val="00ED5C8E"/>
    <w:rsid w:val="00EE1663"/>
    <w:rsid w:val="00EE2F24"/>
    <w:rsid w:val="00F01904"/>
    <w:rsid w:val="00F65F6B"/>
    <w:rsid w:val="00F808DE"/>
    <w:rsid w:val="00F83430"/>
    <w:rsid w:val="00F91F6E"/>
    <w:rsid w:val="00FA59BA"/>
    <w:rsid w:val="00FB1696"/>
    <w:rsid w:val="00FD2818"/>
    <w:rsid w:val="00FF6E8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B5"/>
    <w:pPr>
      <w:spacing w:after="160" w:line="259" w:lineRule="auto"/>
    </w:pPr>
    <w:rPr>
      <w:rFonts w:cs="Times New Roman"/>
      <w:sz w:val="24"/>
      <w:szCs w:val="24"/>
      <w:lang w:eastAsia="en-US"/>
    </w:rPr>
  </w:style>
  <w:style w:type="paragraph" w:styleId="Heading2">
    <w:name w:val="heading 2"/>
    <w:basedOn w:val="Normal"/>
    <w:link w:val="Heading2Char"/>
    <w:uiPriority w:val="99"/>
    <w:qFormat/>
    <w:rsid w:val="00DE0390"/>
    <w:pPr>
      <w:spacing w:before="100" w:beforeAutospacing="1" w:after="100" w:afterAutospacing="1" w:line="240" w:lineRule="auto"/>
      <w:outlineLvl w:val="1"/>
    </w:pPr>
    <w:rPr>
      <w:rFonts w:ascii="Times New Roman" w:hAnsi="Times New Roman"/>
      <w:b/>
      <w:bCs/>
      <w:sz w:val="36"/>
      <w:szCs w:val="36"/>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E0390"/>
    <w:rPr>
      <w:rFonts w:ascii="Times New Roman" w:hAnsi="Times New Roman" w:cs="Times New Roman"/>
      <w:b/>
      <w:bCs/>
      <w:sz w:val="36"/>
      <w:szCs w:val="36"/>
      <w:lang w:eastAsia="it-IT"/>
    </w:rPr>
  </w:style>
  <w:style w:type="paragraph" w:styleId="ListParagraph">
    <w:name w:val="List Paragraph"/>
    <w:basedOn w:val="Normal"/>
    <w:uiPriority w:val="99"/>
    <w:qFormat/>
    <w:rsid w:val="00D14BDF"/>
    <w:pPr>
      <w:ind w:left="720"/>
      <w:contextualSpacing/>
    </w:pPr>
  </w:style>
  <w:style w:type="paragraph" w:styleId="Header">
    <w:name w:val="header"/>
    <w:basedOn w:val="Normal"/>
    <w:link w:val="HeaderChar"/>
    <w:uiPriority w:val="99"/>
    <w:rsid w:val="00DE5953"/>
    <w:pPr>
      <w:tabs>
        <w:tab w:val="center" w:pos="4819"/>
        <w:tab w:val="right" w:pos="9638"/>
      </w:tabs>
    </w:pPr>
  </w:style>
  <w:style w:type="character" w:customStyle="1" w:styleId="HeaderChar">
    <w:name w:val="Header Char"/>
    <w:basedOn w:val="DefaultParagraphFont"/>
    <w:link w:val="Header"/>
    <w:uiPriority w:val="99"/>
    <w:locked/>
    <w:rsid w:val="00DE5953"/>
    <w:rPr>
      <w:rFonts w:cs="Times New Roman"/>
    </w:rPr>
  </w:style>
  <w:style w:type="paragraph" w:styleId="Footer">
    <w:name w:val="footer"/>
    <w:basedOn w:val="Normal"/>
    <w:link w:val="FooterChar"/>
    <w:uiPriority w:val="99"/>
    <w:rsid w:val="00DE5953"/>
    <w:pPr>
      <w:tabs>
        <w:tab w:val="center" w:pos="4819"/>
        <w:tab w:val="right" w:pos="9638"/>
      </w:tabs>
    </w:pPr>
  </w:style>
  <w:style w:type="character" w:customStyle="1" w:styleId="FooterChar">
    <w:name w:val="Footer Char"/>
    <w:basedOn w:val="DefaultParagraphFont"/>
    <w:link w:val="Footer"/>
    <w:uiPriority w:val="99"/>
    <w:locked/>
    <w:rsid w:val="00DE5953"/>
    <w:rPr>
      <w:rFonts w:cs="Times New Roman"/>
    </w:rPr>
  </w:style>
  <w:style w:type="paragraph" w:styleId="BalloonText">
    <w:name w:val="Balloon Text"/>
    <w:basedOn w:val="Normal"/>
    <w:link w:val="BalloonTextChar"/>
    <w:uiPriority w:val="99"/>
    <w:semiHidden/>
    <w:rsid w:val="00373A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3AA5"/>
    <w:rPr>
      <w:rFonts w:ascii="Tahoma" w:hAnsi="Tahoma" w:cs="Tahoma"/>
      <w:sz w:val="16"/>
      <w:szCs w:val="16"/>
    </w:rPr>
  </w:style>
  <w:style w:type="paragraph" w:customStyle="1" w:styleId="LO-normal">
    <w:name w:val="LO-normal"/>
    <w:uiPriority w:val="99"/>
    <w:rsid w:val="002B0549"/>
    <w:pPr>
      <w:suppressAutoHyphens/>
      <w:spacing w:after="160" w:line="276" w:lineRule="auto"/>
    </w:pPr>
    <w:rPr>
      <w:rFonts w:ascii="Arial" w:hAnsi="Arial" w:cs="Arial"/>
      <w:color w:val="000000"/>
      <w:lang w:eastAsia="zh-CN"/>
    </w:rPr>
  </w:style>
  <w:style w:type="character" w:styleId="Hyperlink">
    <w:name w:val="Hyperlink"/>
    <w:basedOn w:val="DefaultParagraphFont"/>
    <w:uiPriority w:val="99"/>
    <w:rsid w:val="003D7428"/>
    <w:rPr>
      <w:rFonts w:cs="Times New Roman"/>
      <w:color w:val="0000FF"/>
      <w:u w:val="single"/>
    </w:rPr>
  </w:style>
  <w:style w:type="paragraph" w:styleId="NormalWeb">
    <w:name w:val="Normal (Web)"/>
    <w:basedOn w:val="Normal"/>
    <w:uiPriority w:val="99"/>
    <w:rsid w:val="002D290E"/>
    <w:pPr>
      <w:spacing w:before="100" w:beforeAutospacing="1" w:after="100" w:afterAutospacing="1" w:line="240" w:lineRule="auto"/>
    </w:pPr>
    <w:rPr>
      <w:rFonts w:ascii="Times New Roman" w:hAnsi="Times New Roman"/>
      <w:lang w:eastAsia="it-IT"/>
    </w:rPr>
  </w:style>
  <w:style w:type="character" w:styleId="Strong">
    <w:name w:val="Strong"/>
    <w:basedOn w:val="DefaultParagraphFont"/>
    <w:uiPriority w:val="99"/>
    <w:qFormat/>
    <w:rsid w:val="00DE0390"/>
    <w:rPr>
      <w:rFonts w:cs="Times New Roman"/>
      <w:b/>
      <w:bCs/>
    </w:rPr>
  </w:style>
  <w:style w:type="paragraph" w:styleId="FootnoteText">
    <w:name w:val="footnote text"/>
    <w:basedOn w:val="Normal"/>
    <w:link w:val="FootnoteTextChar"/>
    <w:uiPriority w:val="99"/>
    <w:rsid w:val="006C68C1"/>
    <w:pPr>
      <w:spacing w:after="0" w:line="240" w:lineRule="auto"/>
    </w:pPr>
    <w:rPr>
      <w:rFonts w:ascii="Arial" w:hAnsi="Arial" w:cs="Arial"/>
      <w:sz w:val="20"/>
      <w:szCs w:val="20"/>
      <w:lang w:eastAsia="it-IT"/>
    </w:rPr>
  </w:style>
  <w:style w:type="character" w:customStyle="1" w:styleId="FootnoteTextChar">
    <w:name w:val="Footnote Text Char"/>
    <w:basedOn w:val="DefaultParagraphFont"/>
    <w:link w:val="FootnoteText"/>
    <w:uiPriority w:val="99"/>
    <w:locked/>
    <w:rsid w:val="006C68C1"/>
    <w:rPr>
      <w:rFonts w:ascii="Arial" w:eastAsia="Times New Roman" w:hAnsi="Arial" w:cs="Arial"/>
      <w:sz w:val="20"/>
      <w:szCs w:val="20"/>
      <w:lang w:eastAsia="it-IT"/>
    </w:rPr>
  </w:style>
  <w:style w:type="character" w:styleId="FootnoteReference">
    <w:name w:val="footnote reference"/>
    <w:basedOn w:val="DefaultParagraphFont"/>
    <w:uiPriority w:val="99"/>
    <w:semiHidden/>
    <w:rsid w:val="006C68C1"/>
    <w:rPr>
      <w:rFonts w:cs="Times New Roman"/>
      <w:vertAlign w:val="superscript"/>
    </w:rPr>
  </w:style>
  <w:style w:type="character" w:customStyle="1" w:styleId="UnresolvedMention">
    <w:name w:val="Unresolved Mention"/>
    <w:basedOn w:val="DefaultParagraphFont"/>
    <w:uiPriority w:val="99"/>
    <w:semiHidden/>
    <w:rsid w:val="00ED2FC4"/>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0643274">
      <w:marLeft w:val="0"/>
      <w:marRight w:val="0"/>
      <w:marTop w:val="0"/>
      <w:marBottom w:val="0"/>
      <w:divBdr>
        <w:top w:val="none" w:sz="0" w:space="0" w:color="auto"/>
        <w:left w:val="none" w:sz="0" w:space="0" w:color="auto"/>
        <w:bottom w:val="none" w:sz="0" w:space="0" w:color="auto"/>
        <w:right w:val="none" w:sz="0" w:space="0" w:color="auto"/>
      </w:divBdr>
    </w:div>
    <w:div w:id="740643275">
      <w:marLeft w:val="0"/>
      <w:marRight w:val="0"/>
      <w:marTop w:val="0"/>
      <w:marBottom w:val="0"/>
      <w:divBdr>
        <w:top w:val="none" w:sz="0" w:space="0" w:color="auto"/>
        <w:left w:val="none" w:sz="0" w:space="0" w:color="auto"/>
        <w:bottom w:val="none" w:sz="0" w:space="0" w:color="auto"/>
        <w:right w:val="none" w:sz="0" w:space="0" w:color="auto"/>
      </w:divBdr>
    </w:div>
    <w:div w:id="740643276">
      <w:marLeft w:val="0"/>
      <w:marRight w:val="0"/>
      <w:marTop w:val="0"/>
      <w:marBottom w:val="0"/>
      <w:divBdr>
        <w:top w:val="none" w:sz="0" w:space="0" w:color="auto"/>
        <w:left w:val="none" w:sz="0" w:space="0" w:color="auto"/>
        <w:bottom w:val="none" w:sz="0" w:space="0" w:color="auto"/>
        <w:right w:val="none" w:sz="0" w:space="0" w:color="auto"/>
      </w:divBdr>
    </w:div>
    <w:div w:id="740643277">
      <w:marLeft w:val="0"/>
      <w:marRight w:val="0"/>
      <w:marTop w:val="0"/>
      <w:marBottom w:val="0"/>
      <w:divBdr>
        <w:top w:val="none" w:sz="0" w:space="0" w:color="auto"/>
        <w:left w:val="none" w:sz="0" w:space="0" w:color="auto"/>
        <w:bottom w:val="none" w:sz="0" w:space="0" w:color="auto"/>
        <w:right w:val="none" w:sz="0" w:space="0" w:color="auto"/>
      </w:divBdr>
    </w:div>
    <w:div w:id="740643281">
      <w:marLeft w:val="0"/>
      <w:marRight w:val="0"/>
      <w:marTop w:val="0"/>
      <w:marBottom w:val="0"/>
      <w:divBdr>
        <w:top w:val="none" w:sz="0" w:space="0" w:color="auto"/>
        <w:left w:val="none" w:sz="0" w:space="0" w:color="auto"/>
        <w:bottom w:val="none" w:sz="0" w:space="0" w:color="auto"/>
        <w:right w:val="none" w:sz="0" w:space="0" w:color="auto"/>
      </w:divBdr>
    </w:div>
    <w:div w:id="740643285">
      <w:marLeft w:val="0"/>
      <w:marRight w:val="0"/>
      <w:marTop w:val="0"/>
      <w:marBottom w:val="0"/>
      <w:divBdr>
        <w:top w:val="none" w:sz="0" w:space="0" w:color="auto"/>
        <w:left w:val="none" w:sz="0" w:space="0" w:color="auto"/>
        <w:bottom w:val="none" w:sz="0" w:space="0" w:color="auto"/>
        <w:right w:val="none" w:sz="0" w:space="0" w:color="auto"/>
      </w:divBdr>
      <w:divsChild>
        <w:div w:id="740643270">
          <w:marLeft w:val="0"/>
          <w:marRight w:val="0"/>
          <w:marTop w:val="0"/>
          <w:marBottom w:val="0"/>
          <w:divBdr>
            <w:top w:val="none" w:sz="0" w:space="0" w:color="auto"/>
            <w:left w:val="none" w:sz="0" w:space="0" w:color="auto"/>
            <w:bottom w:val="none" w:sz="0" w:space="0" w:color="auto"/>
            <w:right w:val="none" w:sz="0" w:space="0" w:color="auto"/>
          </w:divBdr>
        </w:div>
        <w:div w:id="740643272">
          <w:marLeft w:val="0"/>
          <w:marRight w:val="0"/>
          <w:marTop w:val="0"/>
          <w:marBottom w:val="0"/>
          <w:divBdr>
            <w:top w:val="none" w:sz="0" w:space="0" w:color="auto"/>
            <w:left w:val="none" w:sz="0" w:space="0" w:color="auto"/>
            <w:bottom w:val="none" w:sz="0" w:space="0" w:color="auto"/>
            <w:right w:val="none" w:sz="0" w:space="0" w:color="auto"/>
          </w:divBdr>
        </w:div>
      </w:divsChild>
    </w:div>
    <w:div w:id="740643287">
      <w:marLeft w:val="0"/>
      <w:marRight w:val="0"/>
      <w:marTop w:val="0"/>
      <w:marBottom w:val="0"/>
      <w:divBdr>
        <w:top w:val="none" w:sz="0" w:space="0" w:color="auto"/>
        <w:left w:val="none" w:sz="0" w:space="0" w:color="auto"/>
        <w:bottom w:val="none" w:sz="0" w:space="0" w:color="auto"/>
        <w:right w:val="none" w:sz="0" w:space="0" w:color="auto"/>
      </w:divBdr>
      <w:divsChild>
        <w:div w:id="740643288">
          <w:marLeft w:val="0"/>
          <w:marRight w:val="0"/>
          <w:marTop w:val="0"/>
          <w:marBottom w:val="0"/>
          <w:divBdr>
            <w:top w:val="none" w:sz="0" w:space="0" w:color="auto"/>
            <w:left w:val="none" w:sz="0" w:space="0" w:color="auto"/>
            <w:bottom w:val="none" w:sz="0" w:space="0" w:color="auto"/>
            <w:right w:val="none" w:sz="0" w:space="0" w:color="auto"/>
          </w:divBdr>
          <w:divsChild>
            <w:div w:id="740643293">
              <w:marLeft w:val="0"/>
              <w:marRight w:val="0"/>
              <w:marTop w:val="0"/>
              <w:marBottom w:val="0"/>
              <w:divBdr>
                <w:top w:val="none" w:sz="0" w:space="0" w:color="auto"/>
                <w:left w:val="none" w:sz="0" w:space="0" w:color="auto"/>
                <w:bottom w:val="none" w:sz="0" w:space="0" w:color="auto"/>
                <w:right w:val="none" w:sz="0" w:space="0" w:color="auto"/>
              </w:divBdr>
              <w:divsChild>
                <w:div w:id="740643291">
                  <w:marLeft w:val="0"/>
                  <w:marRight w:val="0"/>
                  <w:marTop w:val="0"/>
                  <w:marBottom w:val="0"/>
                  <w:divBdr>
                    <w:top w:val="none" w:sz="0" w:space="0" w:color="auto"/>
                    <w:left w:val="none" w:sz="0" w:space="0" w:color="auto"/>
                    <w:bottom w:val="none" w:sz="0" w:space="0" w:color="auto"/>
                    <w:right w:val="none" w:sz="0" w:space="0" w:color="auto"/>
                  </w:divBdr>
                  <w:divsChild>
                    <w:div w:id="7406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643290">
      <w:marLeft w:val="0"/>
      <w:marRight w:val="0"/>
      <w:marTop w:val="0"/>
      <w:marBottom w:val="0"/>
      <w:divBdr>
        <w:top w:val="none" w:sz="0" w:space="0" w:color="auto"/>
        <w:left w:val="none" w:sz="0" w:space="0" w:color="auto"/>
        <w:bottom w:val="none" w:sz="0" w:space="0" w:color="auto"/>
        <w:right w:val="none" w:sz="0" w:space="0" w:color="auto"/>
      </w:divBdr>
      <w:divsChild>
        <w:div w:id="740643280">
          <w:marLeft w:val="0"/>
          <w:marRight w:val="0"/>
          <w:marTop w:val="0"/>
          <w:marBottom w:val="0"/>
          <w:divBdr>
            <w:top w:val="none" w:sz="0" w:space="0" w:color="auto"/>
            <w:left w:val="none" w:sz="0" w:space="0" w:color="auto"/>
            <w:bottom w:val="none" w:sz="0" w:space="0" w:color="auto"/>
            <w:right w:val="none" w:sz="0" w:space="0" w:color="auto"/>
          </w:divBdr>
        </w:div>
        <w:div w:id="740643289">
          <w:marLeft w:val="0"/>
          <w:marRight w:val="0"/>
          <w:marTop w:val="0"/>
          <w:marBottom w:val="0"/>
          <w:divBdr>
            <w:top w:val="none" w:sz="0" w:space="0" w:color="auto"/>
            <w:left w:val="none" w:sz="0" w:space="0" w:color="auto"/>
            <w:bottom w:val="none" w:sz="0" w:space="0" w:color="auto"/>
            <w:right w:val="none" w:sz="0" w:space="0" w:color="auto"/>
          </w:divBdr>
        </w:div>
      </w:divsChild>
    </w:div>
    <w:div w:id="740643292">
      <w:marLeft w:val="0"/>
      <w:marRight w:val="0"/>
      <w:marTop w:val="0"/>
      <w:marBottom w:val="0"/>
      <w:divBdr>
        <w:top w:val="none" w:sz="0" w:space="0" w:color="auto"/>
        <w:left w:val="none" w:sz="0" w:space="0" w:color="auto"/>
        <w:bottom w:val="none" w:sz="0" w:space="0" w:color="auto"/>
        <w:right w:val="none" w:sz="0" w:space="0" w:color="auto"/>
      </w:divBdr>
      <w:divsChild>
        <w:div w:id="740643273">
          <w:marLeft w:val="0"/>
          <w:marRight w:val="0"/>
          <w:marTop w:val="0"/>
          <w:marBottom w:val="0"/>
          <w:divBdr>
            <w:top w:val="none" w:sz="0" w:space="0" w:color="auto"/>
            <w:left w:val="none" w:sz="0" w:space="0" w:color="auto"/>
            <w:bottom w:val="none" w:sz="0" w:space="0" w:color="auto"/>
            <w:right w:val="none" w:sz="0" w:space="0" w:color="auto"/>
          </w:divBdr>
        </w:div>
        <w:div w:id="740643279">
          <w:marLeft w:val="0"/>
          <w:marRight w:val="0"/>
          <w:marTop w:val="225"/>
          <w:marBottom w:val="225"/>
          <w:divBdr>
            <w:top w:val="single" w:sz="12" w:space="11" w:color="CCCCCC"/>
            <w:left w:val="none" w:sz="0" w:space="0" w:color="auto"/>
            <w:bottom w:val="single" w:sz="12" w:space="11" w:color="CCCCCC"/>
            <w:right w:val="none" w:sz="0" w:space="0" w:color="auto"/>
          </w:divBdr>
          <w:divsChild>
            <w:div w:id="740643284">
              <w:marLeft w:val="0"/>
              <w:marRight w:val="0"/>
              <w:marTop w:val="0"/>
              <w:marBottom w:val="0"/>
              <w:divBdr>
                <w:top w:val="none" w:sz="0" w:space="0" w:color="auto"/>
                <w:left w:val="none" w:sz="0" w:space="0" w:color="auto"/>
                <w:bottom w:val="none" w:sz="0" w:space="0" w:color="auto"/>
                <w:right w:val="none" w:sz="0" w:space="0" w:color="auto"/>
              </w:divBdr>
              <w:divsChild>
                <w:div w:id="740643278">
                  <w:marLeft w:val="0"/>
                  <w:marRight w:val="0"/>
                  <w:marTop w:val="0"/>
                  <w:marBottom w:val="0"/>
                  <w:divBdr>
                    <w:top w:val="none" w:sz="0" w:space="0" w:color="auto"/>
                    <w:left w:val="none" w:sz="0" w:space="0" w:color="auto"/>
                    <w:bottom w:val="none" w:sz="0" w:space="0" w:color="auto"/>
                    <w:right w:val="none" w:sz="0" w:space="0" w:color="auto"/>
                  </w:divBdr>
                </w:div>
                <w:div w:id="7406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643294">
      <w:marLeft w:val="0"/>
      <w:marRight w:val="0"/>
      <w:marTop w:val="0"/>
      <w:marBottom w:val="0"/>
      <w:divBdr>
        <w:top w:val="none" w:sz="0" w:space="0" w:color="auto"/>
        <w:left w:val="none" w:sz="0" w:space="0" w:color="auto"/>
        <w:bottom w:val="none" w:sz="0" w:space="0" w:color="auto"/>
        <w:right w:val="none" w:sz="0" w:space="0" w:color="auto"/>
      </w:divBdr>
      <w:divsChild>
        <w:div w:id="740643286">
          <w:marLeft w:val="0"/>
          <w:marRight w:val="0"/>
          <w:marTop w:val="0"/>
          <w:marBottom w:val="0"/>
          <w:divBdr>
            <w:top w:val="none" w:sz="0" w:space="0" w:color="auto"/>
            <w:left w:val="none" w:sz="0" w:space="0" w:color="auto"/>
            <w:bottom w:val="none" w:sz="0" w:space="0" w:color="auto"/>
            <w:right w:val="none" w:sz="0" w:space="0" w:color="auto"/>
          </w:divBdr>
          <w:divsChild>
            <w:div w:id="740643271">
              <w:marLeft w:val="0"/>
              <w:marRight w:val="0"/>
              <w:marTop w:val="0"/>
              <w:marBottom w:val="0"/>
              <w:divBdr>
                <w:top w:val="none" w:sz="0" w:space="0" w:color="auto"/>
                <w:left w:val="none" w:sz="0" w:space="0" w:color="auto"/>
                <w:bottom w:val="none" w:sz="0" w:space="0" w:color="auto"/>
                <w:right w:val="none" w:sz="0" w:space="0" w:color="auto"/>
              </w:divBdr>
              <w:divsChild>
                <w:div w:id="740643282">
                  <w:marLeft w:val="0"/>
                  <w:marRight w:val="0"/>
                  <w:marTop w:val="0"/>
                  <w:marBottom w:val="0"/>
                  <w:divBdr>
                    <w:top w:val="none" w:sz="0" w:space="0" w:color="auto"/>
                    <w:left w:val="none" w:sz="0" w:space="0" w:color="auto"/>
                    <w:bottom w:val="none" w:sz="0" w:space="0" w:color="auto"/>
                    <w:right w:val="none" w:sz="0" w:space="0" w:color="auto"/>
                  </w:divBdr>
                  <w:divsChild>
                    <w:div w:id="7406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5</Pages>
  <Words>1200</Words>
  <Characters>6840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cp:lastPrinted>2021-04-22T07:53:00Z</cp:lastPrinted>
  <dcterms:created xsi:type="dcterms:W3CDTF">2021-04-22T07:58:00Z</dcterms:created>
  <dcterms:modified xsi:type="dcterms:W3CDTF">2021-04-22T07:58:00Z</dcterms:modified>
</cp:coreProperties>
</file>