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88" w:rsidRPr="008D036E" w:rsidRDefault="00097E88" w:rsidP="008D036E">
      <w:pPr>
        <w:jc w:val="center"/>
        <w:rPr>
          <w:rFonts w:ascii="Times New Roman" w:hAnsi="Times New Roman"/>
          <w:sz w:val="24"/>
          <w:szCs w:val="24"/>
        </w:rPr>
      </w:pPr>
      <w:r w:rsidRPr="0097463C">
        <w:rPr>
          <w:rFonts w:ascii="Times New Roman" w:hAnsi="Times New Roman"/>
          <w:noProof/>
          <w:color w:val="00008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Immagine che contiene testo, clipartDescrizione generata automaticamente" style="width:59.25pt;height:72.75pt;visibility:visible" filled="t">
            <v:imagedata r:id="rId7" o:title=""/>
          </v:shape>
        </w:pict>
      </w:r>
    </w:p>
    <w:p w:rsidR="00097E88" w:rsidRPr="008D036E" w:rsidRDefault="00097E88" w:rsidP="008D036E">
      <w:pPr>
        <w:pStyle w:val="Heading2"/>
        <w:spacing w:after="200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D036E">
        <w:rPr>
          <w:rFonts w:ascii="Times New Roman" w:hAnsi="Times New Roman" w:cs="Times New Roman"/>
          <w:color w:val="auto"/>
          <w:sz w:val="24"/>
          <w:szCs w:val="24"/>
        </w:rPr>
        <w:t>Comune di Modena</w:t>
      </w:r>
    </w:p>
    <w:p w:rsidR="00097E88" w:rsidRPr="008D036E" w:rsidRDefault="00097E88" w:rsidP="008D036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D036E">
        <w:rPr>
          <w:rFonts w:ascii="Times New Roman" w:hAnsi="Times New Roman"/>
          <w:b/>
          <w:bCs/>
          <w:sz w:val="24"/>
          <w:szCs w:val="24"/>
        </w:rPr>
        <w:t>Consiglio Comunale</w:t>
      </w:r>
    </w:p>
    <w:p w:rsidR="00097E88" w:rsidRPr="008D036E" w:rsidRDefault="00097E88" w:rsidP="008D036E">
      <w:pPr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8D036E">
        <w:rPr>
          <w:rFonts w:ascii="Times New Roman" w:hAnsi="Times New Roman"/>
          <w:b/>
          <w:bCs/>
          <w:sz w:val="24"/>
          <w:szCs w:val="24"/>
        </w:rPr>
        <w:t>Gruppo Consiliare Partito Democratico</w:t>
      </w:r>
      <w:r w:rsidRPr="008D036E">
        <w:rPr>
          <w:rFonts w:ascii="Times New Roman" w:hAnsi="Times New Roman"/>
          <w:b/>
          <w:bCs/>
          <w:color w:val="000080"/>
          <w:sz w:val="24"/>
          <w:szCs w:val="24"/>
        </w:rPr>
        <w:t xml:space="preserve">   </w:t>
      </w:r>
    </w:p>
    <w:p w:rsidR="00097E88" w:rsidRPr="008D036E" w:rsidRDefault="00097E88" w:rsidP="008D036E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D036E">
        <w:rPr>
          <w:rFonts w:ascii="Times New Roman" w:hAnsi="Times New Roman"/>
          <w:b/>
          <w:bCs/>
          <w:sz w:val="24"/>
          <w:szCs w:val="24"/>
        </w:rPr>
        <w:t>PROTOCOLLO GENERALE n° 310394 del 14/10/2021</w:t>
      </w:r>
      <w:r>
        <w:rPr>
          <w:rFonts w:ascii="Times New Roman" w:hAnsi="Times New Roman"/>
          <w:b/>
          <w:bCs/>
          <w:sz w:val="24"/>
          <w:szCs w:val="24"/>
        </w:rPr>
        <w:t xml:space="preserve"> (P.E.C.)</w:t>
      </w:r>
      <w:r w:rsidRPr="008D03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97E88" w:rsidRPr="008D036E" w:rsidRDefault="00097E88" w:rsidP="008D036E">
      <w:pPr>
        <w:ind w:left="5670"/>
        <w:jc w:val="right"/>
        <w:rPr>
          <w:rFonts w:ascii="Times New Roman" w:hAnsi="Times New Roman"/>
          <w:sz w:val="24"/>
          <w:szCs w:val="24"/>
        </w:rPr>
      </w:pPr>
      <w:r w:rsidRPr="008D036E">
        <w:rPr>
          <w:rFonts w:ascii="Times New Roman" w:hAnsi="Times New Roman"/>
          <w:sz w:val="24"/>
          <w:szCs w:val="24"/>
        </w:rPr>
        <w:t xml:space="preserve">Modena, 14 Ottobre 2021 </w:t>
      </w:r>
    </w:p>
    <w:p w:rsidR="00097E88" w:rsidRPr="008D036E" w:rsidRDefault="00097E88" w:rsidP="008D036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D036E">
        <w:rPr>
          <w:rFonts w:ascii="Times New Roman" w:hAnsi="Times New Roman"/>
          <w:sz w:val="24"/>
          <w:szCs w:val="24"/>
        </w:rPr>
        <w:t>Alla Presidenza del Consiglio Comunale</w:t>
      </w:r>
    </w:p>
    <w:p w:rsidR="00097E88" w:rsidRPr="008D036E" w:rsidRDefault="00097E88" w:rsidP="008D036E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8D036E">
        <w:rPr>
          <w:rFonts w:ascii="Times New Roman" w:hAnsi="Times New Roman"/>
          <w:sz w:val="24"/>
          <w:szCs w:val="24"/>
        </w:rPr>
        <w:t>Al Sindaco</w:t>
      </w:r>
    </w:p>
    <w:p w:rsidR="00097E88" w:rsidRPr="008D036E" w:rsidRDefault="00097E88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97E88" w:rsidRPr="008D036E" w:rsidRDefault="00097E88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E88" w:rsidRPr="008D036E" w:rsidRDefault="00097E88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036E">
        <w:rPr>
          <w:rFonts w:ascii="Times New Roman" w:hAnsi="Times New Roman" w:cs="Times New Roman"/>
          <w:b/>
          <w:bCs/>
          <w:sz w:val="24"/>
          <w:szCs w:val="24"/>
        </w:rPr>
        <w:t>INTERROGAZIONE URGENTE</w:t>
      </w:r>
    </w:p>
    <w:p w:rsidR="00097E88" w:rsidRDefault="00097E88">
      <w:pPr>
        <w:pStyle w:val="NormalWeb"/>
        <w:spacing w:line="276" w:lineRule="auto"/>
        <w:jc w:val="both"/>
        <w:rPr>
          <w:color w:val="000000"/>
          <w:sz w:val="26"/>
          <w:szCs w:val="26"/>
        </w:rPr>
      </w:pPr>
    </w:p>
    <w:p w:rsidR="00097E88" w:rsidRDefault="00097E88">
      <w:pPr>
        <w:pStyle w:val="NormalWeb"/>
        <w:spacing w:line="276" w:lineRule="auto"/>
        <w:ind w:left="1440" w:hanging="1440"/>
        <w:jc w:val="both"/>
      </w:pPr>
      <w:r>
        <w:rPr>
          <w:b/>
          <w:color w:val="000000"/>
          <w:sz w:val="26"/>
          <w:szCs w:val="26"/>
        </w:rPr>
        <w:t xml:space="preserve">OGGETTO: </w:t>
      </w:r>
      <w:r>
        <w:rPr>
          <w:b/>
          <w:bCs/>
          <w:color w:val="000000"/>
          <w:sz w:val="26"/>
          <w:szCs w:val="26"/>
        </w:rPr>
        <w:t>ACCOGLIENZA DEGLI STUDENTI FUORI SEDE</w:t>
      </w:r>
    </w:p>
    <w:p w:rsidR="00097E88" w:rsidRDefault="00097E88">
      <w:pPr>
        <w:pStyle w:val="NormalWeb"/>
        <w:spacing w:line="276" w:lineRule="auto"/>
        <w:jc w:val="both"/>
        <w:rPr>
          <w:color w:val="000000"/>
          <w:sz w:val="26"/>
          <w:szCs w:val="26"/>
        </w:rPr>
      </w:pPr>
    </w:p>
    <w:p w:rsidR="00097E88" w:rsidRDefault="00097E88">
      <w:pPr>
        <w:pStyle w:val="NormalWeb"/>
        <w:spacing w:line="276" w:lineRule="auto"/>
        <w:jc w:val="both"/>
      </w:pPr>
      <w:r>
        <w:rPr>
          <w:color w:val="000000"/>
          <w:sz w:val="26"/>
          <w:szCs w:val="26"/>
        </w:rPr>
        <w:t>PREMESSO CHE:</w:t>
      </w:r>
    </w:p>
    <w:p w:rsidR="00097E88" w:rsidRDefault="00097E88">
      <w:pPr>
        <w:pStyle w:val="NormalWeb"/>
        <w:numPr>
          <w:ilvl w:val="0"/>
          <w:numId w:val="8"/>
        </w:numPr>
        <w:spacing w:line="276" w:lineRule="auto"/>
        <w:jc w:val="both"/>
      </w:pPr>
      <w:r>
        <w:rPr>
          <w:color w:val="000000"/>
          <w:sz w:val="26"/>
          <w:szCs w:val="26"/>
        </w:rPr>
        <w:t>Modena è la sede più antica e popolosa dell’Ateneo di Modena e Reggio Emilia, che nel 2017 è stato classificato, per la numerosità dei propri iscritti, tra gli Atenei di grandi dimensioni;</w:t>
      </w:r>
    </w:p>
    <w:p w:rsidR="00097E88" w:rsidRDefault="00097E88">
      <w:pPr>
        <w:pStyle w:val="NormalWeb"/>
        <w:numPr>
          <w:ilvl w:val="0"/>
          <w:numId w:val="6"/>
        </w:numPr>
        <w:spacing w:line="276" w:lineRule="auto"/>
        <w:jc w:val="both"/>
      </w:pPr>
      <w:r>
        <w:rPr>
          <w:color w:val="000000"/>
          <w:sz w:val="26"/>
          <w:szCs w:val="26"/>
        </w:rPr>
        <w:t>l’attrattività dell’offerta formativa del nostro Ateneo, che in particolare per le materie tecnico-scientifiche è fortemente intrecciata con il tessuto sociale e la forte crescita economica, innanzitutto del settore industriale - artigianale manifatturiero del nostro territorio, ha portato ad una crescita media dei neo-immatricolati superiore al 10% negli ultimi tre anni;</w:t>
      </w:r>
    </w:p>
    <w:p w:rsidR="00097E88" w:rsidRDefault="00097E88">
      <w:pPr>
        <w:pStyle w:val="NormalWeb"/>
        <w:numPr>
          <w:ilvl w:val="0"/>
          <w:numId w:val="6"/>
        </w:numPr>
        <w:spacing w:line="276" w:lineRule="auto"/>
        <w:jc w:val="both"/>
      </w:pPr>
      <w:r>
        <w:rPr>
          <w:color w:val="000000"/>
          <w:sz w:val="26"/>
          <w:szCs w:val="26"/>
        </w:rPr>
        <w:t>la dinamicità economica, l’innovatività tecnologica e le caratteristiche imprenditoriali del territorio modenese permettono ai laureati del nostro Ateneo di trovare sbocco diretto nel mondo del lavoro (con percentuali di placement a 6 mesi in media superiori al 75%, con punte sopra al 90% per l’Ingegneria), fattore che ha attirato nuove matricole da tutta Italia, ed in particolare dal sud del nostro paese;</w:t>
      </w:r>
    </w:p>
    <w:p w:rsidR="00097E88" w:rsidRDefault="00097E88">
      <w:pPr>
        <w:pStyle w:val="NormalWeb"/>
        <w:numPr>
          <w:ilvl w:val="0"/>
          <w:numId w:val="6"/>
        </w:numPr>
        <w:spacing w:line="276" w:lineRule="auto"/>
        <w:jc w:val="both"/>
      </w:pPr>
      <w:r>
        <w:rPr>
          <w:color w:val="000000"/>
          <w:sz w:val="26"/>
          <w:szCs w:val="26"/>
        </w:rPr>
        <w:t>le recenti politiche Accademiche hanno permesso di avviare diversi corsi a forte connotazione internazionale (quali le Laurea Magistrali in Advanced Automotive Engineering, in Innovation Design o in Management Internazionale), che stanno aumentando il numero di iscritti e frequentanti da tutto il mondo e concorrono a rendere l’Università di Modena e Reggio Emilia, e Modena come territorio, sempre più internazionali;</w:t>
      </w:r>
    </w:p>
    <w:p w:rsidR="00097E88" w:rsidRDefault="00097E88">
      <w:pPr>
        <w:pStyle w:val="NormalWeb"/>
        <w:spacing w:line="276" w:lineRule="auto"/>
        <w:ind w:left="360"/>
        <w:jc w:val="both"/>
      </w:pPr>
    </w:p>
    <w:p w:rsidR="00097E88" w:rsidRDefault="00097E88">
      <w:pPr>
        <w:pStyle w:val="NormalWeb"/>
        <w:spacing w:line="276" w:lineRule="auto"/>
        <w:jc w:val="both"/>
      </w:pPr>
      <w:r>
        <w:rPr>
          <w:color w:val="000000"/>
          <w:sz w:val="26"/>
          <w:szCs w:val="26"/>
        </w:rPr>
        <w:t>CONSIDERATO CHE:</w:t>
      </w:r>
    </w:p>
    <w:p w:rsidR="00097E88" w:rsidRPr="00373AF2" w:rsidRDefault="00097E88" w:rsidP="00373AF2">
      <w:pPr>
        <w:pStyle w:val="NormalWeb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73AF2">
        <w:rPr>
          <w:sz w:val="26"/>
          <w:szCs w:val="26"/>
        </w:rPr>
        <w:t>il 6 ottobre 2020 è stato rinnovato l’accordo quadro per Modena città universitaria. In particolare, sono dodici gli ambiti per i quali Università e Comune, attraverso il coinvolgimento dei singoli assessorati interessati, hanno individuato le azioni prioritarie da mettere in campo: I luoghi dello studio: sedi universitarie e biblioteche; I luoghi dell’abitare: residenze, alloggi e affitti; I luoghi della Ricerca; I luoghi della cultura; I luoghi della pratica sportiva; I luoghi del tempo libero; Trasporti e mobilità sostenibile; Comunicazione, informazione, partecipazione, accoglienza e promozione turistica; Offerta formativa, orientamento e lavoro; Scambio di Competenze e Osservatori delle politiche pubbliche; Rete socio-sanitaria locale, disabilità; Internazionalizzazione.</w:t>
      </w:r>
    </w:p>
    <w:p w:rsidR="00097E88" w:rsidRPr="00373AF2" w:rsidRDefault="00097E88" w:rsidP="00373AF2">
      <w:pPr>
        <w:pStyle w:val="NormalWeb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73AF2">
        <w:rPr>
          <w:sz w:val="26"/>
          <w:szCs w:val="26"/>
        </w:rPr>
        <w:t>Per attuare l’accordo viene inoltre costituito un tavolo di lavoro bilaterale di cui fanno parte Sindaco e Rettore, o loro delegati, che ha il compito di proporre iniziative, azioni e strumenti, nonché di verificare l’effettiva attuazione dei vari progetti che compongono il Patto e comunicarla in modo continuativo e costante al territorio. Per la realizzazione dei singoli obiettivi saranno attivati specifici tavoli tecnici bilaterali.</w:t>
      </w:r>
    </w:p>
    <w:p w:rsidR="00097E88" w:rsidRPr="00373AF2" w:rsidRDefault="00097E88" w:rsidP="00373AF2">
      <w:pPr>
        <w:pStyle w:val="NormalWeb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73AF2">
        <w:rPr>
          <w:sz w:val="26"/>
          <w:szCs w:val="26"/>
        </w:rPr>
        <w:t>Inoltre, per garantire l’effettiva partecipazione degli studenti viene previsto un tavolo periodico di confronto di cui faranno parte anche i componenti del Tavolo tecnico per i servizi agli studenti ed il presidente della Conferenza degli studenti.</w:t>
      </w:r>
    </w:p>
    <w:p w:rsidR="00097E88" w:rsidRDefault="00097E88">
      <w:pPr>
        <w:pStyle w:val="NormalWeb"/>
        <w:numPr>
          <w:ilvl w:val="0"/>
          <w:numId w:val="9"/>
        </w:numPr>
        <w:spacing w:line="276" w:lineRule="auto"/>
        <w:jc w:val="both"/>
      </w:pPr>
      <w:r>
        <w:rPr>
          <w:color w:val="000000"/>
          <w:sz w:val="26"/>
          <w:szCs w:val="26"/>
        </w:rPr>
        <w:t>nel Comune di Modena l’agenzia per il diritto allo studio regionale, Er.Go, ha in gestione 5 residenze universitarie, per un totale di n. 624 posti letto;</w:t>
      </w:r>
    </w:p>
    <w:p w:rsidR="00097E88" w:rsidRDefault="00097E88">
      <w:pPr>
        <w:pStyle w:val="NormalWeb"/>
        <w:numPr>
          <w:ilvl w:val="0"/>
          <w:numId w:val="7"/>
        </w:numPr>
        <w:spacing w:line="276" w:lineRule="auto"/>
        <w:jc w:val="both"/>
      </w:pPr>
      <w:r>
        <w:rPr>
          <w:color w:val="000000"/>
          <w:sz w:val="26"/>
          <w:szCs w:val="26"/>
        </w:rPr>
        <w:t>il Comune di Modena, l’Università di Modena e Reggio Emilia, ER.GO, Fondazione San Filippo Neri e Fondazione Collegio San Carlo, hanno sottoscritto un ”Accordo per lo sviluppo del sistema di accoglienza degli studenti fuori sede”. L ’obiettivo</w:t>
      </w:r>
      <w:r>
        <w:rPr>
          <w:rFonts w:ascii="Verdana" w:hAnsi="Verdana" w:cs="Calibri"/>
          <w:color w:val="222222"/>
          <w:sz w:val="23"/>
          <w:szCs w:val="23"/>
          <w:lang w:eastAsia="en-US"/>
        </w:rPr>
        <w:t xml:space="preserve"> è</w:t>
      </w:r>
      <w:r>
        <w:rPr>
          <w:color w:val="000000"/>
          <w:sz w:val="26"/>
          <w:szCs w:val="26"/>
        </w:rPr>
        <w:t xml:space="preserve"> individuare, tramite sperimentazioni, nuove soluzioni che consentano di aumentare e anche di diversificare le opportunità abitative per gli studenti “fuori sede”, attraverso il coinvolgimento degli altri soggetti istituzionali che operano nel campo dell’accoglienza e coloro che operano nell’ambito del mercato privato dei contratti di locazione per le esigenze abitative di studenti universitari, studenti ITS e di studenti impegnati in percorsi di formazione superiore.</w:t>
      </w:r>
    </w:p>
    <w:p w:rsidR="00097E88" w:rsidRPr="00D815D1" w:rsidRDefault="00097E88">
      <w:pPr>
        <w:pStyle w:val="NormalWeb"/>
        <w:numPr>
          <w:ilvl w:val="0"/>
          <w:numId w:val="7"/>
        </w:numPr>
        <w:spacing w:line="276" w:lineRule="auto"/>
        <w:jc w:val="both"/>
      </w:pPr>
      <w:r>
        <w:rPr>
          <w:color w:val="000000"/>
          <w:sz w:val="26"/>
          <w:szCs w:val="26"/>
        </w:rPr>
        <w:t>Il Comune di Modena si è dotato di una vetrina on-line come primo canale di accesso alle informazioni sulle opportunità di alloggi a Modena.</w:t>
      </w:r>
    </w:p>
    <w:p w:rsidR="00097E88" w:rsidRDefault="00097E88">
      <w:pPr>
        <w:pStyle w:val="NormalWeb"/>
        <w:numPr>
          <w:ilvl w:val="0"/>
          <w:numId w:val="7"/>
        </w:numPr>
        <w:spacing w:line="276" w:lineRule="auto"/>
        <w:jc w:val="both"/>
      </w:pPr>
      <w:r>
        <w:rPr>
          <w:color w:val="000000"/>
          <w:sz w:val="26"/>
          <w:szCs w:val="26"/>
        </w:rPr>
        <w:t>Gli indici di Nomisma riguardanti la locazione di Uffici (immobili assimilabili spesso alle caratteristiche di abitazioni ) disegnano una grande disponibilità immediata sul mercato.</w:t>
      </w:r>
    </w:p>
    <w:p w:rsidR="00097E88" w:rsidRDefault="00097E88">
      <w:pPr>
        <w:pStyle w:val="NormalWeb"/>
        <w:spacing w:line="276" w:lineRule="auto"/>
        <w:jc w:val="both"/>
        <w:rPr>
          <w:color w:val="000000"/>
          <w:sz w:val="26"/>
          <w:szCs w:val="26"/>
        </w:rPr>
      </w:pPr>
    </w:p>
    <w:p w:rsidR="00097E88" w:rsidRDefault="00097E88">
      <w:pPr>
        <w:pStyle w:val="NormalWeb"/>
        <w:spacing w:line="276" w:lineRule="auto"/>
        <w:jc w:val="both"/>
      </w:pPr>
      <w:r>
        <w:rPr>
          <w:color w:val="000000"/>
          <w:sz w:val="26"/>
          <w:szCs w:val="26"/>
        </w:rPr>
        <w:t>RICORDATO CHE:</w:t>
      </w:r>
    </w:p>
    <w:p w:rsidR="00097E88" w:rsidRDefault="00097E88">
      <w:pPr>
        <w:pStyle w:val="NormalWeb"/>
        <w:numPr>
          <w:ilvl w:val="0"/>
          <w:numId w:val="7"/>
        </w:numPr>
        <w:jc w:val="both"/>
      </w:pPr>
      <w:r>
        <w:rPr>
          <w:color w:val="000000"/>
          <w:sz w:val="26"/>
          <w:szCs w:val="26"/>
        </w:rPr>
        <w:t>Nonostante le numerose iniziative portate avanti dall’Amministrazione e dagli enti preposti nell’accoglienza dei fuori sede, gli studenti e le associazioni universitarie lamentano ancora la scarsa disponibilità di alloggi offerti dal mercato interno della locazione privata, nonostante i dati diffusi indichino una disponibilità in numero significativo;</w:t>
      </w:r>
    </w:p>
    <w:p w:rsidR="00097E88" w:rsidRDefault="00097E88">
      <w:pPr>
        <w:pStyle w:val="NormalWeb"/>
        <w:spacing w:line="276" w:lineRule="auto"/>
        <w:ind w:left="360"/>
        <w:jc w:val="both"/>
        <w:rPr>
          <w:sz w:val="26"/>
          <w:szCs w:val="26"/>
        </w:rPr>
      </w:pPr>
    </w:p>
    <w:p w:rsidR="00097E88" w:rsidRPr="00D81ADF" w:rsidRDefault="00097E88">
      <w:pPr>
        <w:pStyle w:val="NormalWeb"/>
        <w:numPr>
          <w:ilvl w:val="0"/>
          <w:numId w:val="7"/>
        </w:numPr>
        <w:spacing w:line="276" w:lineRule="auto"/>
        <w:jc w:val="both"/>
      </w:pPr>
      <w:r>
        <w:rPr>
          <w:color w:val="000000"/>
          <w:sz w:val="26"/>
          <w:szCs w:val="26"/>
        </w:rPr>
        <w:t>la popolazione universitaria, sia fuori sede che in sede, è  motore primario dello sviluppo culturale, tecnico ed economico del nostro territorio;</w:t>
      </w:r>
    </w:p>
    <w:p w:rsidR="00097E88" w:rsidRDefault="00097E88" w:rsidP="00D81ADF">
      <w:pPr>
        <w:pStyle w:val="ListParagraph"/>
      </w:pPr>
    </w:p>
    <w:p w:rsidR="00097E88" w:rsidRDefault="00097E88">
      <w:pPr>
        <w:pStyle w:val="NormalWeb"/>
        <w:numPr>
          <w:ilvl w:val="0"/>
          <w:numId w:val="7"/>
        </w:numPr>
        <w:spacing w:line="276" w:lineRule="auto"/>
        <w:jc w:val="both"/>
      </w:pPr>
      <w:r>
        <w:t xml:space="preserve">uno dei fattori principali dell’abbandono universitario è la mancata risposta abitativa o il prezzo troppo elevato dell’offerta di “luoghi dell’abitare” </w:t>
      </w:r>
    </w:p>
    <w:p w:rsidR="00097E88" w:rsidRDefault="00097E88">
      <w:pPr>
        <w:pStyle w:val="NormalWeb"/>
        <w:spacing w:line="276" w:lineRule="auto"/>
        <w:jc w:val="both"/>
        <w:rPr>
          <w:color w:val="000000"/>
          <w:sz w:val="26"/>
          <w:szCs w:val="26"/>
        </w:rPr>
      </w:pPr>
    </w:p>
    <w:p w:rsidR="00097E88" w:rsidRDefault="00097E88">
      <w:pPr>
        <w:pStyle w:val="NormalWeb"/>
        <w:spacing w:line="276" w:lineRule="auto"/>
        <w:jc w:val="both"/>
      </w:pPr>
      <w:r>
        <w:rPr>
          <w:b/>
          <w:bCs/>
          <w:color w:val="000000"/>
          <w:sz w:val="26"/>
          <w:szCs w:val="26"/>
        </w:rPr>
        <w:t>SI INTERROGA L’AMMINISTRAZIONE:</w:t>
      </w:r>
    </w:p>
    <w:p w:rsidR="00097E88" w:rsidRDefault="00097E88">
      <w:pPr>
        <w:pStyle w:val="NormalWeb"/>
        <w:numPr>
          <w:ilvl w:val="0"/>
          <w:numId w:val="10"/>
        </w:numPr>
        <w:spacing w:line="276" w:lineRule="auto"/>
        <w:jc w:val="both"/>
      </w:pPr>
      <w:r>
        <w:rPr>
          <w:color w:val="000000"/>
          <w:sz w:val="26"/>
          <w:szCs w:val="26"/>
        </w:rPr>
        <w:t>Se prevede altre collaborazioni, ed in quali forme, con le altre istituzioni pubbliche e private del territorio per individuare soluzioni strutturali all’ accoglienza degli studenti universitari fuori sede, che possano favorire lo sviluppo di Modena come città universitaria e l’opera di internazionalizzazione e di innovazione ad essa associata;</w:t>
      </w:r>
    </w:p>
    <w:p w:rsidR="00097E88" w:rsidRPr="00373AF2" w:rsidRDefault="00097E88">
      <w:pPr>
        <w:pStyle w:val="NormalWeb"/>
        <w:numPr>
          <w:ilvl w:val="0"/>
          <w:numId w:val="2"/>
        </w:numPr>
        <w:spacing w:line="276" w:lineRule="auto"/>
        <w:jc w:val="both"/>
      </w:pPr>
      <w:r>
        <w:rPr>
          <w:color w:val="000000"/>
          <w:sz w:val="26"/>
          <w:szCs w:val="26"/>
        </w:rPr>
        <w:t>Se sono stati individuati nuovi spazi per altre residenze universitarie e quali sono le tempistiche per la realizzazione;</w:t>
      </w:r>
    </w:p>
    <w:p w:rsidR="00097E88" w:rsidRPr="008D219A" w:rsidRDefault="00097E88">
      <w:pPr>
        <w:pStyle w:val="NormalWeb"/>
        <w:numPr>
          <w:ilvl w:val="0"/>
          <w:numId w:val="2"/>
        </w:numPr>
        <w:spacing w:line="276" w:lineRule="auto"/>
        <w:jc w:val="both"/>
      </w:pPr>
      <w:r>
        <w:rPr>
          <w:color w:val="000000"/>
          <w:sz w:val="26"/>
          <w:szCs w:val="26"/>
        </w:rPr>
        <w:t xml:space="preserve">Ad un anno esatto dalla firma dell’accordo quadro, cosa è stato fatto e quali sono i risultati conseguiti nei dodici ambiti presenti nell’accordo; </w:t>
      </w:r>
    </w:p>
    <w:p w:rsidR="00097E88" w:rsidRDefault="00097E88">
      <w:pPr>
        <w:pStyle w:val="NormalWeb"/>
        <w:numPr>
          <w:ilvl w:val="0"/>
          <w:numId w:val="2"/>
        </w:numPr>
        <w:spacing w:line="276" w:lineRule="auto"/>
        <w:jc w:val="both"/>
      </w:pPr>
      <w:r>
        <w:rPr>
          <w:color w:val="000000"/>
          <w:sz w:val="26"/>
          <w:szCs w:val="26"/>
        </w:rPr>
        <w:t xml:space="preserve">Se abbia valutato la possibilità di attuare forme che permettano l’utilizzo degli uffici, con caratteristiche idonee, solo per contratti concordati per studenti o transitori per lavoratori, dando in questo modo una risposta rapida all’emergenza abitativa. </w:t>
      </w:r>
    </w:p>
    <w:p w:rsidR="00097E88" w:rsidRDefault="00097E88">
      <w:pPr>
        <w:pStyle w:val="NormalWeb"/>
        <w:jc w:val="right"/>
        <w:rPr>
          <w:b/>
          <w:bCs/>
          <w:color w:val="000000"/>
          <w:sz w:val="26"/>
          <w:szCs w:val="26"/>
        </w:rPr>
      </w:pPr>
    </w:p>
    <w:p w:rsidR="00097E88" w:rsidRPr="00835123" w:rsidRDefault="00097E88" w:rsidP="00835123">
      <w:pPr>
        <w:pStyle w:val="NormalWeb"/>
        <w:rPr>
          <w:color w:val="000000"/>
          <w:sz w:val="26"/>
          <w:szCs w:val="26"/>
        </w:rPr>
      </w:pPr>
      <w:r w:rsidRPr="00835123">
        <w:rPr>
          <w:color w:val="000000"/>
          <w:sz w:val="26"/>
          <w:szCs w:val="26"/>
        </w:rPr>
        <w:t>Federica Venturelli</w:t>
      </w:r>
    </w:p>
    <w:p w:rsidR="00097E88" w:rsidRPr="00835123" w:rsidRDefault="00097E88" w:rsidP="00835123">
      <w:pPr>
        <w:pStyle w:val="NormalWeb"/>
      </w:pPr>
      <w:r w:rsidRPr="00835123">
        <w:rPr>
          <w:color w:val="000000"/>
          <w:sz w:val="26"/>
          <w:szCs w:val="26"/>
        </w:rPr>
        <w:t xml:space="preserve">Alberto Bignardi </w:t>
      </w:r>
    </w:p>
    <w:p w:rsidR="00097E88" w:rsidRDefault="00097E88">
      <w:pPr>
        <w:pStyle w:val="NormalWeb"/>
        <w:jc w:val="both"/>
        <w:rPr>
          <w:sz w:val="26"/>
          <w:szCs w:val="26"/>
        </w:rPr>
      </w:pPr>
    </w:p>
    <w:p w:rsidR="00097E88" w:rsidRDefault="00097E88">
      <w:pPr>
        <w:pStyle w:val="Standard"/>
        <w:jc w:val="both"/>
        <w:rPr>
          <w:sz w:val="26"/>
          <w:szCs w:val="26"/>
        </w:rPr>
      </w:pPr>
    </w:p>
    <w:p w:rsidR="00097E88" w:rsidRDefault="00097E88">
      <w:pPr>
        <w:pStyle w:val="Standard"/>
        <w:jc w:val="both"/>
      </w:pPr>
    </w:p>
    <w:sectPr w:rsidR="00097E88" w:rsidSect="00813ED7">
      <w:footerReference w:type="default" r:id="rId8"/>
      <w:pgSz w:w="11906" w:h="16838"/>
      <w:pgMar w:top="1417" w:right="1134" w:bottom="1134" w:left="1134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E88" w:rsidRDefault="00097E88">
      <w:pPr>
        <w:spacing w:after="0" w:line="240" w:lineRule="auto"/>
      </w:pPr>
      <w:r>
        <w:separator/>
      </w:r>
    </w:p>
  </w:endnote>
  <w:endnote w:type="continuationSeparator" w:id="0">
    <w:p w:rsidR="00097E88" w:rsidRDefault="0009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88" w:rsidRDefault="00097E88">
    <w:pPr>
      <w:pStyle w:val="Footer"/>
    </w:pPr>
    <w:fldSimple w:instr=" PAGE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E88" w:rsidRDefault="00097E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7E88" w:rsidRDefault="00097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6627"/>
    <w:multiLevelType w:val="multilevel"/>
    <w:tmpl w:val="88B054C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">
    <w:nsid w:val="275C1DFD"/>
    <w:multiLevelType w:val="multilevel"/>
    <w:tmpl w:val="455E8DB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">
    <w:nsid w:val="3A377CC5"/>
    <w:multiLevelType w:val="multilevel"/>
    <w:tmpl w:val="B5A040F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3CD87AE9"/>
    <w:multiLevelType w:val="multilevel"/>
    <w:tmpl w:val="21BEC02E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45FB7277"/>
    <w:multiLevelType w:val="multilevel"/>
    <w:tmpl w:val="180000EE"/>
    <w:styleLink w:val="WWNum4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5B2551D"/>
    <w:multiLevelType w:val="multilevel"/>
    <w:tmpl w:val="E4F2AC66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73F54ADE"/>
    <w:multiLevelType w:val="multilevel"/>
    <w:tmpl w:val="E9D08A00"/>
    <w:styleLink w:val="WWNum5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5"/>
  </w:num>
  <w:num w:numId="9">
    <w:abstractNumId w:val="3"/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C80"/>
    <w:rsid w:val="00077028"/>
    <w:rsid w:val="00097E88"/>
    <w:rsid w:val="00373AF2"/>
    <w:rsid w:val="0050045B"/>
    <w:rsid w:val="005E4DFD"/>
    <w:rsid w:val="00624FC9"/>
    <w:rsid w:val="007A1306"/>
    <w:rsid w:val="00813ED7"/>
    <w:rsid w:val="0083259B"/>
    <w:rsid w:val="00835123"/>
    <w:rsid w:val="008D036E"/>
    <w:rsid w:val="008D219A"/>
    <w:rsid w:val="0097463C"/>
    <w:rsid w:val="009B48F6"/>
    <w:rsid w:val="00AE0C80"/>
    <w:rsid w:val="00C33EF0"/>
    <w:rsid w:val="00C46AC8"/>
    <w:rsid w:val="00D815D1"/>
    <w:rsid w:val="00D81ADF"/>
    <w:rsid w:val="00D91D89"/>
    <w:rsid w:val="00E40B05"/>
    <w:rsid w:val="00E4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D7"/>
    <w:pPr>
      <w:widowControl w:val="0"/>
      <w:suppressAutoHyphens/>
      <w:autoSpaceDN w:val="0"/>
      <w:spacing w:after="200" w:line="276" w:lineRule="auto"/>
      <w:textAlignment w:val="baseline"/>
    </w:pPr>
    <w:rPr>
      <w:rFonts w:cs="Times New Roman"/>
      <w:kern w:val="3"/>
    </w:rPr>
  </w:style>
  <w:style w:type="paragraph" w:styleId="Heading2">
    <w:name w:val="heading 2"/>
    <w:basedOn w:val="Standard"/>
    <w:next w:val="Textbody"/>
    <w:link w:val="Heading2Char"/>
    <w:uiPriority w:val="99"/>
    <w:qFormat/>
    <w:rsid w:val="00813ED7"/>
    <w:pPr>
      <w:keepNext/>
      <w:spacing w:after="0" w:line="240" w:lineRule="auto"/>
      <w:ind w:left="3969"/>
      <w:outlineLvl w:val="1"/>
    </w:pPr>
    <w:rPr>
      <w:rFonts w:ascii="Arial" w:hAnsi="Arial" w:cs="Arial"/>
      <w:b/>
      <w:bCs/>
      <w:color w:val="000080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13ED7"/>
    <w:rPr>
      <w:rFonts w:ascii="Arial" w:hAnsi="Arial" w:cs="Arial"/>
      <w:b/>
      <w:bCs/>
      <w:color w:val="000080"/>
      <w:lang w:val="it-IT" w:eastAsia="ar-SA" w:bidi="ar-SA"/>
    </w:rPr>
  </w:style>
  <w:style w:type="paragraph" w:customStyle="1" w:styleId="Standard">
    <w:name w:val="Standard"/>
    <w:uiPriority w:val="99"/>
    <w:rsid w:val="00813ED7"/>
    <w:pPr>
      <w:suppressAutoHyphens/>
      <w:autoSpaceDN w:val="0"/>
      <w:spacing w:after="160" w:line="251" w:lineRule="auto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813E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813ED7"/>
    <w:pPr>
      <w:spacing w:after="120"/>
    </w:pPr>
  </w:style>
  <w:style w:type="paragraph" w:styleId="List">
    <w:name w:val="List"/>
    <w:basedOn w:val="Textbody"/>
    <w:uiPriority w:val="99"/>
    <w:rsid w:val="00813ED7"/>
    <w:rPr>
      <w:rFonts w:cs="Mangal"/>
    </w:rPr>
  </w:style>
  <w:style w:type="paragraph" w:styleId="Caption">
    <w:name w:val="caption"/>
    <w:basedOn w:val="Standard"/>
    <w:uiPriority w:val="99"/>
    <w:qFormat/>
    <w:rsid w:val="00813E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813ED7"/>
    <w:pPr>
      <w:suppressLineNumbers/>
    </w:pPr>
    <w:rPr>
      <w:rFonts w:cs="Mangal"/>
    </w:rPr>
  </w:style>
  <w:style w:type="paragraph" w:styleId="Footer">
    <w:name w:val="footer"/>
    <w:basedOn w:val="Standard"/>
    <w:link w:val="FooterChar"/>
    <w:uiPriority w:val="99"/>
    <w:rsid w:val="00813ED7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ED7"/>
    <w:rPr>
      <w:rFonts w:eastAsia="Times New Roman" w:cs="Calibri"/>
      <w:lang w:val="en-US" w:eastAsia="en-US"/>
    </w:rPr>
  </w:style>
  <w:style w:type="paragraph" w:styleId="NormalWeb">
    <w:name w:val="Normal (Web)"/>
    <w:basedOn w:val="Standard"/>
    <w:uiPriority w:val="99"/>
    <w:rsid w:val="00813ED7"/>
    <w:pPr>
      <w:spacing w:before="28" w:after="10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uiPriority w:val="99"/>
    <w:rsid w:val="00813ED7"/>
    <w:rPr>
      <w:rFonts w:cs="Times New Roman"/>
    </w:rPr>
  </w:style>
  <w:style w:type="character" w:customStyle="1" w:styleId="ListLabel1">
    <w:name w:val="ListLabel 1"/>
    <w:uiPriority w:val="99"/>
    <w:rsid w:val="00813ED7"/>
  </w:style>
  <w:style w:type="character" w:customStyle="1" w:styleId="ListLabel2">
    <w:name w:val="ListLabel 2"/>
    <w:uiPriority w:val="99"/>
    <w:rsid w:val="00813ED7"/>
    <w:rPr>
      <w:rFonts w:eastAsia="Times New Roman"/>
    </w:rPr>
  </w:style>
  <w:style w:type="character" w:customStyle="1" w:styleId="ListLabel3">
    <w:name w:val="ListLabel 3"/>
    <w:uiPriority w:val="99"/>
    <w:rsid w:val="00813ED7"/>
    <w:rPr>
      <w:color w:val="00000A"/>
    </w:rPr>
  </w:style>
  <w:style w:type="paragraph" w:styleId="ListParagraph">
    <w:name w:val="List Paragraph"/>
    <w:basedOn w:val="Normal"/>
    <w:uiPriority w:val="99"/>
    <w:qFormat/>
    <w:rsid w:val="00D81ADF"/>
    <w:pPr>
      <w:ind w:left="720"/>
      <w:contextualSpacing/>
    </w:pPr>
  </w:style>
  <w:style w:type="numbering" w:customStyle="1" w:styleId="WWNum1">
    <w:name w:val="WWNum1"/>
    <w:rsid w:val="0094149D"/>
    <w:pPr>
      <w:numPr>
        <w:numId w:val="1"/>
      </w:numPr>
    </w:pPr>
  </w:style>
  <w:style w:type="numbering" w:customStyle="1" w:styleId="WWNum2">
    <w:name w:val="WWNum2"/>
    <w:rsid w:val="0094149D"/>
    <w:pPr>
      <w:numPr>
        <w:numId w:val="2"/>
      </w:numPr>
    </w:pPr>
  </w:style>
  <w:style w:type="numbering" w:customStyle="1" w:styleId="WWNum3">
    <w:name w:val="WWNum3"/>
    <w:rsid w:val="0094149D"/>
    <w:pPr>
      <w:numPr>
        <w:numId w:val="3"/>
      </w:numPr>
    </w:pPr>
  </w:style>
  <w:style w:type="numbering" w:customStyle="1" w:styleId="WWNum7">
    <w:name w:val="WWNum7"/>
    <w:rsid w:val="0094149D"/>
    <w:pPr>
      <w:numPr>
        <w:numId w:val="7"/>
      </w:numPr>
    </w:pPr>
  </w:style>
  <w:style w:type="numbering" w:customStyle="1" w:styleId="WWNum4">
    <w:name w:val="WWNum4"/>
    <w:rsid w:val="0094149D"/>
    <w:pPr>
      <w:numPr>
        <w:numId w:val="4"/>
      </w:numPr>
    </w:pPr>
  </w:style>
  <w:style w:type="numbering" w:customStyle="1" w:styleId="WWNum6">
    <w:name w:val="WWNum6"/>
    <w:rsid w:val="0094149D"/>
    <w:pPr>
      <w:numPr>
        <w:numId w:val="6"/>
      </w:numPr>
    </w:pPr>
  </w:style>
  <w:style w:type="numbering" w:customStyle="1" w:styleId="WWNum5">
    <w:name w:val="WWNum5"/>
    <w:rsid w:val="0094149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895</Words>
  <Characters>5108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INTERROGAZIONE</dc:title>
  <dc:subject/>
  <dc:creator>Microsoft Office User</dc:creator>
  <cp:keywords/>
  <dc:description/>
  <cp:lastModifiedBy>pbubolo</cp:lastModifiedBy>
  <cp:revision>2</cp:revision>
  <cp:lastPrinted>2017-10-31T11:23:00Z</cp:lastPrinted>
  <dcterms:created xsi:type="dcterms:W3CDTF">2021-10-19T11:03:00Z</dcterms:created>
  <dcterms:modified xsi:type="dcterms:W3CDTF">2021-10-19T11:03:00Z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Modena</vt:lpwstr>
  </property>
  <property fmtid="{D5CDD505-2E9C-101B-9397-08002B2CF9AE}" pid="4" name="DocSecurity">
    <vt:r8>3.34865973749312E-287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